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22B7" w14:textId="6E13D3D5" w:rsidR="00602E63" w:rsidRDefault="006E7E76">
      <w:r>
        <w:rPr>
          <w:noProof/>
          <w:lang w:eastAsia="en-AU"/>
        </w:rPr>
        <w:drawing>
          <wp:anchor distT="0" distB="0" distL="114300" distR="114300" simplePos="0" relativeHeight="251671552" behindDoc="0" locked="0" layoutInCell="1" allowOverlap="1" wp14:anchorId="09B27789" wp14:editId="1FD33916">
            <wp:simplePos x="0" y="0"/>
            <wp:positionH relativeFrom="column">
              <wp:posOffset>-448641</wp:posOffset>
            </wp:positionH>
            <wp:positionV relativeFrom="paragraph">
              <wp:posOffset>-572135</wp:posOffset>
            </wp:positionV>
            <wp:extent cx="7541895" cy="874776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541895" cy="8747760"/>
                    </a:xfrm>
                    <a:prstGeom prst="rect">
                      <a:avLst/>
                    </a:prstGeom>
                    <a:ln>
                      <a:noFill/>
                    </a:ln>
                    <a:extLst>
                      <a:ext uri="{53640926-AAD7-44D8-BBD7-CCE9431645EC}">
                        <a14:shadowObscured xmlns:a14="http://schemas.microsoft.com/office/drawing/2010/main"/>
                      </a:ext>
                    </a:extLst>
                  </pic:spPr>
                </pic:pic>
              </a:graphicData>
            </a:graphic>
          </wp:anchor>
        </w:drawing>
      </w:r>
    </w:p>
    <w:p w14:paraId="5337F571" w14:textId="474B1C07" w:rsidR="00602E63" w:rsidRDefault="00602E63"/>
    <w:p w14:paraId="6C84EEF5" w14:textId="09B72541" w:rsidR="00602E63" w:rsidRDefault="006E7E76">
      <w:pPr>
        <w:rPr>
          <w:rFonts w:eastAsiaTheme="majorEastAsia" w:cstheme="majorBidi"/>
          <w:color w:val="00BCDA"/>
          <w:sz w:val="48"/>
          <w:szCs w:val="32"/>
        </w:rPr>
      </w:pPr>
      <w:r w:rsidRPr="006E7E76">
        <w:drawing>
          <wp:anchor distT="0" distB="0" distL="114300" distR="114300" simplePos="0" relativeHeight="251675648" behindDoc="0" locked="0" layoutInCell="1" allowOverlap="1" wp14:anchorId="2DF63BB7" wp14:editId="7D7707CC">
            <wp:simplePos x="0" y="0"/>
            <wp:positionH relativeFrom="column">
              <wp:posOffset>-462280</wp:posOffset>
            </wp:positionH>
            <wp:positionV relativeFrom="paragraph">
              <wp:posOffset>7656830</wp:posOffset>
            </wp:positionV>
            <wp:extent cx="7559675" cy="229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b="86348"/>
                    <a:stretch/>
                  </pic:blipFill>
                  <pic:spPr bwMode="auto">
                    <a:xfrm>
                      <a:off x="0" y="0"/>
                      <a:ext cx="7559675" cy="229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E76">
        <w:drawing>
          <wp:anchor distT="0" distB="0" distL="114300" distR="114300" simplePos="0" relativeHeight="251676672" behindDoc="0" locked="0" layoutInCell="1" allowOverlap="1" wp14:anchorId="573E6541" wp14:editId="16BD767B">
            <wp:simplePos x="0" y="0"/>
            <wp:positionH relativeFrom="column">
              <wp:posOffset>5841283</wp:posOffset>
            </wp:positionH>
            <wp:positionV relativeFrom="paragraph">
              <wp:posOffset>8285646</wp:posOffset>
            </wp:positionV>
            <wp:extent cx="827405" cy="766445"/>
            <wp:effectExtent l="0" t="0" r="0" b="0"/>
            <wp:wrapNone/>
            <wp:docPr id="16" name="Picture 16" descr="https://iconnect.stategrowth.tas.gov.au/iconnect/comms/Documents/Tasmanian%20Government%20Logo%20-%20Vertical%20Colour%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iconnect.stategrowth.tas.gov.au/iconnect/comms/Documents/Tasmanian%20Government%20Logo%20-%20Vertical%20Colour%20(JPG).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176">
        <w:rPr>
          <w:noProof/>
          <w:lang w:eastAsia="en-AU"/>
        </w:rPr>
        <mc:AlternateContent>
          <mc:Choice Requires="wps">
            <w:drawing>
              <wp:anchor distT="45720" distB="45720" distL="114300" distR="114300" simplePos="0" relativeHeight="251673600" behindDoc="0" locked="0" layoutInCell="1" allowOverlap="1" wp14:anchorId="07DBD076" wp14:editId="4275EF7B">
                <wp:simplePos x="0" y="0"/>
                <wp:positionH relativeFrom="margin">
                  <wp:posOffset>1273175</wp:posOffset>
                </wp:positionH>
                <wp:positionV relativeFrom="paragraph">
                  <wp:posOffset>35703</wp:posOffset>
                </wp:positionV>
                <wp:extent cx="409956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noFill/>
                        <a:ln w="9525">
                          <a:noFill/>
                          <a:miter lim="800000"/>
                          <a:headEnd/>
                          <a:tailEnd/>
                        </a:ln>
                      </wps:spPr>
                      <wps:txbx>
                        <w:txbxContent>
                          <w:p w14:paraId="65B52E26" w14:textId="3988100C" w:rsidR="00893434" w:rsidRDefault="00893434" w:rsidP="00732176">
                            <w:pPr>
                              <w:spacing w:before="360"/>
                              <w:jc w:val="center"/>
                            </w:pPr>
                            <w:r w:rsidRPr="00893434">
                              <w:rPr>
                                <w:b/>
                                <w:color w:val="FFFFFF" w:themeColor="background1"/>
                                <w:sz w:val="56"/>
                                <w:szCs w:val="56"/>
                              </w:rPr>
                              <w:t>LAUNCESTON</w:t>
                            </w:r>
                            <w:r>
                              <w:rPr>
                                <w:b/>
                                <w:color w:val="FFFFFF" w:themeColor="background1"/>
                                <w:sz w:val="56"/>
                                <w:szCs w:val="56"/>
                              </w:rPr>
                              <w:br/>
                            </w:r>
                            <w:r w:rsidRPr="00893434">
                              <w:rPr>
                                <w:sz w:val="36"/>
                                <w:szCs w:val="36"/>
                              </w:rPr>
                              <w:t>City Deal</w:t>
                            </w:r>
                          </w:p>
                          <w:p w14:paraId="55CF17A5" w14:textId="61935D98" w:rsidR="00893434" w:rsidRPr="00893434" w:rsidRDefault="00893434" w:rsidP="00893434">
                            <w:pPr>
                              <w:jc w:val="center"/>
                              <w:rPr>
                                <w:color w:val="FFFFFF" w:themeColor="background1"/>
                                <w:sz w:val="36"/>
                                <w:szCs w:val="36"/>
                              </w:rPr>
                            </w:pPr>
                            <w:r w:rsidRPr="00893434">
                              <w:rPr>
                                <w:color w:val="FFFFFF" w:themeColor="background1"/>
                                <w:sz w:val="36"/>
                                <w:szCs w:val="36"/>
                              </w:rPr>
                              <w:t>Regional Metrics</w:t>
                            </w:r>
                            <w:r w:rsidRPr="00893434">
                              <w:rPr>
                                <w:color w:val="FFFFFF" w:themeColor="background1"/>
                                <w:sz w:val="36"/>
                                <w:szCs w:val="36"/>
                              </w:rPr>
                              <w:b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BD076" id="_x0000_t202" coordsize="21600,21600" o:spt="202" path="m,l,21600r21600,l21600,xe">
                <v:stroke joinstyle="miter"/>
                <v:path gradientshapeok="t" o:connecttype="rect"/>
              </v:shapetype>
              <v:shape id="Text Box 2" o:spid="_x0000_s1026" type="#_x0000_t202" style="position:absolute;margin-left:100.25pt;margin-top:2.8pt;width:322.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" filled="f" stroked="f">
                <v:textbox style="mso-fit-shape-to-text:t">
                  <w:txbxContent>
                    <w:p w14:paraId="65B52E26" w14:textId="3988100C" w:rsidR="00893434" w:rsidRDefault="00893434" w:rsidP="00732176">
                      <w:pPr>
                        <w:spacing w:before="360"/>
                        <w:jc w:val="center"/>
                      </w:pPr>
                      <w:r w:rsidRPr="00893434">
                        <w:rPr>
                          <w:b/>
                          <w:color w:val="FFFFFF" w:themeColor="background1"/>
                          <w:sz w:val="56"/>
                          <w:szCs w:val="56"/>
                        </w:rPr>
                        <w:t>LAUNCESTON</w:t>
                      </w:r>
                      <w:r>
                        <w:rPr>
                          <w:b/>
                          <w:color w:val="FFFFFF" w:themeColor="background1"/>
                          <w:sz w:val="56"/>
                          <w:szCs w:val="56"/>
                        </w:rPr>
                        <w:br/>
                      </w:r>
                      <w:r w:rsidRPr="00893434">
                        <w:rPr>
                          <w:sz w:val="36"/>
                          <w:szCs w:val="36"/>
                        </w:rPr>
                        <w:t>City Deal</w:t>
                      </w:r>
                    </w:p>
                    <w:p w14:paraId="55CF17A5" w14:textId="61935D98" w:rsidR="00893434" w:rsidRPr="00893434" w:rsidRDefault="00893434" w:rsidP="00893434">
                      <w:pPr>
                        <w:jc w:val="center"/>
                        <w:rPr>
                          <w:color w:val="FFFFFF" w:themeColor="background1"/>
                          <w:sz w:val="36"/>
                          <w:szCs w:val="36"/>
                        </w:rPr>
                      </w:pPr>
                      <w:r w:rsidRPr="00893434">
                        <w:rPr>
                          <w:color w:val="FFFFFF" w:themeColor="background1"/>
                          <w:sz w:val="36"/>
                          <w:szCs w:val="36"/>
                        </w:rPr>
                        <w:t>Regional Metrics</w:t>
                      </w:r>
                      <w:r w:rsidRPr="00893434">
                        <w:rPr>
                          <w:color w:val="FFFFFF" w:themeColor="background1"/>
                          <w:sz w:val="36"/>
                          <w:szCs w:val="36"/>
                        </w:rPr>
                        <w:br/>
                        <w:t>June 2019</w:t>
                      </w:r>
                    </w:p>
                  </w:txbxContent>
                </v:textbox>
                <w10:wrap type="square" anchorx="margin"/>
              </v:shape>
            </w:pict>
          </mc:Fallback>
        </mc:AlternateContent>
      </w:r>
      <w:r w:rsidR="00602E63">
        <w:br w:type="page"/>
      </w:r>
    </w:p>
    <w:p w14:paraId="636F613D" w14:textId="0E1B14D1" w:rsidR="0040113D" w:rsidRPr="000C65B2" w:rsidRDefault="00AC3586" w:rsidP="000A5B6A">
      <w:pPr>
        <w:pStyle w:val="Heading1"/>
      </w:pPr>
      <w:r>
        <w:rPr>
          <w:noProof/>
          <w:lang w:eastAsia="en-AU"/>
        </w:rPr>
        <w:lastRenderedPageBreak/>
        <w:drawing>
          <wp:anchor distT="0" distB="0" distL="114300" distR="114300" simplePos="0" relativeHeight="251662336" behindDoc="1" locked="0" layoutInCell="1" allowOverlap="1" wp14:anchorId="644C5543" wp14:editId="1DB4C28D">
            <wp:simplePos x="0" y="0"/>
            <wp:positionH relativeFrom="margin">
              <wp:posOffset>3221990</wp:posOffset>
            </wp:positionH>
            <wp:positionV relativeFrom="margin">
              <wp:posOffset>407670</wp:posOffset>
            </wp:positionV>
            <wp:extent cx="3415030" cy="2729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h Tas Map.jpg"/>
                    <pic:cNvPicPr/>
                  </pic:nvPicPr>
                  <pic:blipFill rotWithShape="1">
                    <a:blip r:embed="rId10" cstate="print">
                      <a:extLst>
                        <a:ext uri="{28A0092B-C50C-407E-A947-70E740481C1C}">
                          <a14:useLocalDpi xmlns:a14="http://schemas.microsoft.com/office/drawing/2010/main" val="0"/>
                        </a:ext>
                      </a:extLst>
                    </a:blip>
                    <a:srcRect t="5244" b="38224"/>
                    <a:stretch/>
                  </pic:blipFill>
                  <pic:spPr bwMode="auto">
                    <a:xfrm>
                      <a:off x="0" y="0"/>
                      <a:ext cx="3415030" cy="2729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A84" w:rsidRPr="000C65B2">
        <w:t xml:space="preserve">Metrics for </w:t>
      </w:r>
      <w:r w:rsidR="00463E46" w:rsidRPr="000C65B2">
        <w:t>Northern Tasmania</w:t>
      </w:r>
    </w:p>
    <w:p w14:paraId="04EE6817" w14:textId="291462B2" w:rsidR="00397A84" w:rsidRPr="000C65B2" w:rsidRDefault="00397A84" w:rsidP="00602E63">
      <w:pPr>
        <w:rPr>
          <w:lang w:eastAsia="en-AU"/>
        </w:rPr>
      </w:pPr>
      <w:r w:rsidRPr="000C65B2">
        <w:rPr>
          <w:lang w:eastAsia="en-AU"/>
        </w:rPr>
        <w:t>The Metrics for Northern Tasmania are a commitment of the Launceston City Deal and have been developed to measure economic and education outcomes for the Northern Tasmania region and to monitor the success in implementing the Regional Economic Development Strategy.</w:t>
      </w:r>
    </w:p>
    <w:p w14:paraId="491BE9A3" w14:textId="69BC7778" w:rsidR="00397A84" w:rsidRDefault="00AC3586" w:rsidP="00602E63">
      <w:pPr>
        <w:rPr>
          <w:lang w:eastAsia="en-AU"/>
        </w:rPr>
      </w:pPr>
      <w:r w:rsidRPr="00AC3586">
        <w:rPr>
          <w:noProof/>
          <w:lang w:eastAsia="en-AU"/>
        </w:rPr>
        <mc:AlternateContent>
          <mc:Choice Requires="wps">
            <w:drawing>
              <wp:anchor distT="45720" distB="45720" distL="114300" distR="114300" simplePos="0" relativeHeight="251664384" behindDoc="0" locked="0" layoutInCell="1" allowOverlap="1" wp14:anchorId="40929411" wp14:editId="479283E9">
                <wp:simplePos x="0" y="0"/>
                <wp:positionH relativeFrom="column">
                  <wp:posOffset>5083810</wp:posOffset>
                </wp:positionH>
                <wp:positionV relativeFrom="paragraph">
                  <wp:posOffset>555625</wp:posOffset>
                </wp:positionV>
                <wp:extent cx="1144905" cy="250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50825"/>
                        </a:xfrm>
                        <a:prstGeom prst="rect">
                          <a:avLst/>
                        </a:prstGeom>
                        <a:noFill/>
                        <a:ln w="9525">
                          <a:noFill/>
                          <a:miter lim="800000"/>
                          <a:headEnd/>
                          <a:tailEnd/>
                        </a:ln>
                      </wps:spPr>
                      <wps:txbx>
                        <w:txbxContent>
                          <w:p w14:paraId="3BCB357F" w14:textId="331F8C7C" w:rsidR="00AC3586" w:rsidRPr="00AC3586" w:rsidRDefault="00AC3586">
                            <w:pPr>
                              <w:rPr>
                                <w:color w:val="FFFFFF" w:themeColor="background1"/>
                                <w:sz w:val="16"/>
                              </w:rPr>
                            </w:pPr>
                            <w:r w:rsidRPr="00AC3586">
                              <w:rPr>
                                <w:color w:val="FFFFFF" w:themeColor="background1"/>
                                <w:sz w:val="16"/>
                              </w:rPr>
                              <w:t>Northern Tasmania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9411" id="_x0000_s1027" type="#_x0000_t202" style="position:absolute;margin-left:400.3pt;margin-top:43.75pt;width:90.15pt;height:1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" filled="f" stroked="f">
                <v:textbox>
                  <w:txbxContent>
                    <w:p w14:paraId="3BCB357F" w14:textId="331F8C7C" w:rsidR="00AC3586" w:rsidRPr="00AC3586" w:rsidRDefault="00AC3586">
                      <w:pPr>
                        <w:rPr>
                          <w:color w:val="FFFFFF" w:themeColor="background1"/>
                          <w:sz w:val="16"/>
                        </w:rPr>
                      </w:pPr>
                      <w:r w:rsidRPr="00AC3586">
                        <w:rPr>
                          <w:color w:val="FFFFFF" w:themeColor="background1"/>
                          <w:sz w:val="16"/>
                        </w:rPr>
                        <w:t>Northern Tasmania</w:t>
                      </w:r>
                    </w:p>
                  </w:txbxContent>
                </v:textbox>
                <w10:wrap type="square"/>
              </v:shape>
            </w:pict>
          </mc:Fallback>
        </mc:AlternateContent>
      </w:r>
      <w:r w:rsidR="00397A84" w:rsidRPr="000C65B2">
        <w:rPr>
          <w:lang w:eastAsia="en-AU"/>
        </w:rPr>
        <w:t>The Northern Tasmania region includes the local government areas of Break O’Day, Dorset, Flinders, George Town, Launceston, Meander Valley, Northern Midlands and West Tamar.</w:t>
      </w:r>
    </w:p>
    <w:p w14:paraId="11E7D84A" w14:textId="617F3FB9" w:rsidR="00397A84" w:rsidRPr="000C65B2" w:rsidRDefault="00397A84" w:rsidP="00602E63">
      <w:pPr>
        <w:rPr>
          <w:lang w:eastAsia="en-AU"/>
        </w:rPr>
      </w:pPr>
      <w:r w:rsidRPr="000C65B2">
        <w:rPr>
          <w:lang w:eastAsia="en-AU"/>
        </w:rPr>
        <w:t>The metrics are provided in three parts:</w:t>
      </w:r>
    </w:p>
    <w:p w14:paraId="06613999" w14:textId="40187BD3" w:rsidR="00397A84" w:rsidRPr="000C65B2" w:rsidRDefault="00397A84" w:rsidP="00602E63">
      <w:pPr>
        <w:pStyle w:val="ListParagraph"/>
        <w:numPr>
          <w:ilvl w:val="0"/>
          <w:numId w:val="3"/>
        </w:numPr>
        <w:rPr>
          <w:lang w:eastAsia="en-AU"/>
        </w:rPr>
      </w:pPr>
      <w:r w:rsidRPr="00602E63">
        <w:rPr>
          <w:b/>
          <w:lang w:eastAsia="en-AU"/>
        </w:rPr>
        <w:t>People</w:t>
      </w:r>
      <w:r w:rsidRPr="000C65B2">
        <w:rPr>
          <w:lang w:eastAsia="en-AU"/>
        </w:rPr>
        <w:t>—selected characteristics of the region’s residents</w:t>
      </w:r>
    </w:p>
    <w:p w14:paraId="5AEB4439" w14:textId="77777777" w:rsidR="00397A84" w:rsidRPr="000C65B2" w:rsidRDefault="00397A84" w:rsidP="00602E63">
      <w:pPr>
        <w:pStyle w:val="ListParagraph"/>
        <w:numPr>
          <w:ilvl w:val="0"/>
          <w:numId w:val="3"/>
        </w:numPr>
        <w:rPr>
          <w:lang w:eastAsia="en-AU"/>
        </w:rPr>
      </w:pPr>
      <w:r w:rsidRPr="00602E63">
        <w:rPr>
          <w:b/>
          <w:lang w:eastAsia="en-AU"/>
        </w:rPr>
        <w:t>Participation</w:t>
      </w:r>
      <w:r w:rsidRPr="000C65B2">
        <w:rPr>
          <w:lang w:eastAsia="en-AU"/>
        </w:rPr>
        <w:t>—the region’s participation in education and employment</w:t>
      </w:r>
    </w:p>
    <w:p w14:paraId="0EA52DE7" w14:textId="2CDA1D69" w:rsidR="00397A84" w:rsidRPr="00602E63" w:rsidRDefault="00397A84" w:rsidP="00602E63">
      <w:pPr>
        <w:pStyle w:val="ListParagraph"/>
        <w:numPr>
          <w:ilvl w:val="0"/>
          <w:numId w:val="3"/>
        </w:numPr>
        <w:rPr>
          <w:rFonts w:cstheme="minorHAnsi"/>
        </w:rPr>
      </w:pPr>
      <w:r w:rsidRPr="00602E63">
        <w:rPr>
          <w:b/>
          <w:lang w:eastAsia="en-AU"/>
        </w:rPr>
        <w:t>Productivity</w:t>
      </w:r>
      <w:r w:rsidRPr="000C65B2">
        <w:rPr>
          <w:lang w:eastAsia="en-AU"/>
        </w:rPr>
        <w:t>—how productive the region is and its contribution to the economy.</w:t>
      </w:r>
    </w:p>
    <w:p w14:paraId="4EDEDD4B" w14:textId="615261CA" w:rsidR="00397A84" w:rsidRDefault="00AC3586" w:rsidP="00602E63">
      <w:pPr>
        <w:rPr>
          <w:lang w:eastAsia="en-AU"/>
        </w:rPr>
      </w:pPr>
      <w:r>
        <w:rPr>
          <w:noProof/>
          <w:lang w:eastAsia="en-AU"/>
        </w:rPr>
        <w:drawing>
          <wp:anchor distT="0" distB="0" distL="114300" distR="114300" simplePos="0" relativeHeight="251656192" behindDoc="1" locked="0" layoutInCell="1" allowOverlap="1" wp14:anchorId="19C1478C" wp14:editId="3BFCA6B3">
            <wp:simplePos x="0" y="0"/>
            <wp:positionH relativeFrom="margin">
              <wp:align>right</wp:align>
            </wp:positionH>
            <wp:positionV relativeFrom="margin">
              <wp:posOffset>4174008</wp:posOffset>
            </wp:positionV>
            <wp:extent cx="2268220" cy="900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rn Tasmania Graph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220" cy="900430"/>
                    </a:xfrm>
                    <a:prstGeom prst="rect">
                      <a:avLst/>
                    </a:prstGeom>
                  </pic:spPr>
                </pic:pic>
              </a:graphicData>
            </a:graphic>
            <wp14:sizeRelH relativeFrom="page">
              <wp14:pctWidth>0</wp14:pctWidth>
            </wp14:sizeRelH>
            <wp14:sizeRelV relativeFrom="page">
              <wp14:pctHeight>0</wp14:pctHeight>
            </wp14:sizeRelV>
          </wp:anchor>
        </w:drawing>
      </w:r>
      <w:r w:rsidR="00397A84" w:rsidRPr="000C65B2">
        <w:rPr>
          <w:lang w:eastAsia="en-AU"/>
        </w:rPr>
        <w:t>The metrics were developed in consultation with a working group with members from local councils, Northern Tasmania Development Corporation, Launceston Chamber of Commerce, Regional Development Australia (Tasmania), University of Tasmania and the Department of State Growth.  The Tasmanian Treasury and Department of Premier and Cabinet were also consulted in their development.</w:t>
      </w:r>
    </w:p>
    <w:p w14:paraId="12A93960" w14:textId="77777777" w:rsidR="00AC3586" w:rsidRDefault="00AC3586" w:rsidP="00602E63">
      <w:pPr>
        <w:rPr>
          <w:lang w:eastAsia="en-AU"/>
        </w:rPr>
      </w:pPr>
    </w:p>
    <w:p w14:paraId="42F24DF5" w14:textId="5C4BC1B0" w:rsidR="00463E46" w:rsidRDefault="008F76D9" w:rsidP="000A5B6A">
      <w:pPr>
        <w:pStyle w:val="Heading1"/>
      </w:pPr>
      <w:r w:rsidRPr="000C65B2">
        <w:t>People</w:t>
      </w:r>
    </w:p>
    <w:tbl>
      <w:tblPr>
        <w:tblStyle w:val="TableGrid"/>
        <w:tblW w:w="10490" w:type="dxa"/>
        <w:tblBorders>
          <w:top w:val="none" w:sz="0" w:space="0" w:color="auto"/>
          <w:left w:val="none" w:sz="0" w:space="0" w:color="auto"/>
          <w:bottom w:val="none" w:sz="0" w:space="0" w:color="auto"/>
          <w:right w:val="none" w:sz="0" w:space="0" w:color="auto"/>
          <w:insideH w:val="single" w:sz="4" w:space="0" w:color="00BCDA"/>
          <w:insideV w:val="none" w:sz="0" w:space="0" w:color="auto"/>
        </w:tblBorders>
        <w:tblLook w:val="04A0" w:firstRow="1" w:lastRow="0" w:firstColumn="1" w:lastColumn="0" w:noHBand="0" w:noVBand="1"/>
      </w:tblPr>
      <w:tblGrid>
        <w:gridCol w:w="2268"/>
        <w:gridCol w:w="4001"/>
        <w:gridCol w:w="4221"/>
      </w:tblGrid>
      <w:tr w:rsidR="00AD102F" w:rsidRPr="000C65B2" w14:paraId="466BA5E6" w14:textId="2D860D43" w:rsidTr="005E1F65">
        <w:trPr>
          <w:trHeight w:val="1474"/>
        </w:trPr>
        <w:tc>
          <w:tcPr>
            <w:tcW w:w="2268" w:type="dxa"/>
            <w:tcBorders>
              <w:bottom w:val="single" w:sz="18" w:space="0" w:color="00BCDA"/>
            </w:tcBorders>
            <w:shd w:val="clear" w:color="auto" w:fill="E7E6E6" w:themeFill="background2"/>
            <w:vAlign w:val="center"/>
          </w:tcPr>
          <w:p w14:paraId="64A57FF3" w14:textId="6D2A6D6B" w:rsidR="00AD102F" w:rsidRPr="00DB15AE" w:rsidRDefault="00AD102F" w:rsidP="00DB15AE">
            <w:pPr>
              <w:spacing w:before="60" w:after="60"/>
              <w:jc w:val="center"/>
              <w:rPr>
                <w:rFonts w:cstheme="minorHAnsi"/>
                <w:color w:val="00BCDA"/>
                <w:sz w:val="24"/>
                <w:szCs w:val="20"/>
              </w:rPr>
            </w:pPr>
            <w:r w:rsidRPr="00DB15AE">
              <w:rPr>
                <w:rFonts w:cstheme="minorHAnsi"/>
                <w:color w:val="00BCDA"/>
                <w:sz w:val="24"/>
                <w:szCs w:val="20"/>
              </w:rPr>
              <w:t>Population</w:t>
            </w:r>
          </w:p>
        </w:tc>
        <w:tc>
          <w:tcPr>
            <w:tcW w:w="4001" w:type="dxa"/>
            <w:tcBorders>
              <w:bottom w:val="single" w:sz="18" w:space="0" w:color="00BCDA"/>
            </w:tcBorders>
            <w:vAlign w:val="center"/>
          </w:tcPr>
          <w:p w14:paraId="3C2A8636" w14:textId="59D05D25" w:rsidR="00AD102F" w:rsidRPr="000C65B2" w:rsidRDefault="00AD102F" w:rsidP="00126C2E">
            <w:pPr>
              <w:tabs>
                <w:tab w:val="left" w:pos="4616"/>
              </w:tabs>
              <w:spacing w:before="60" w:after="60"/>
              <w:rPr>
                <w:rFonts w:cstheme="minorHAnsi"/>
                <w:i/>
                <w:szCs w:val="20"/>
              </w:rPr>
            </w:pPr>
            <w:r w:rsidRPr="000C65B2">
              <w:rPr>
                <w:rFonts w:eastAsia="Times New Roman" w:cstheme="minorHAnsi"/>
                <w:szCs w:val="20"/>
                <w:lang w:eastAsia="en-AU"/>
              </w:rPr>
              <w:t>The total population of the region based on place of usual residence.</w:t>
            </w:r>
          </w:p>
        </w:tc>
        <w:tc>
          <w:tcPr>
            <w:tcW w:w="4221" w:type="dxa"/>
            <w:tcBorders>
              <w:bottom w:val="single" w:sz="18" w:space="0" w:color="00BCDA"/>
            </w:tcBorders>
            <w:vAlign w:val="center"/>
          </w:tcPr>
          <w:p w14:paraId="0AB78402" w14:textId="2E5FD667" w:rsidR="00AD102F" w:rsidRPr="000C65B2" w:rsidRDefault="00AD102F" w:rsidP="00126C2E">
            <w:pPr>
              <w:tabs>
                <w:tab w:val="left" w:pos="4616"/>
              </w:tabs>
              <w:rPr>
                <w:rFonts w:eastAsia="Times New Roman" w:cstheme="minorHAnsi"/>
                <w:sz w:val="16"/>
                <w:szCs w:val="16"/>
                <w:lang w:eastAsia="en-AU"/>
              </w:rPr>
            </w:pPr>
            <w:r w:rsidRPr="000C65B2">
              <w:rPr>
                <w:rFonts w:eastAsia="Times New Roman" w:cstheme="minorHAnsi"/>
                <w:sz w:val="16"/>
                <w:szCs w:val="16"/>
                <w:lang w:eastAsia="en-AU"/>
              </w:rPr>
              <w:t>Australian Bureau of Statistics</w:t>
            </w:r>
            <w:r w:rsidR="000F795C" w:rsidRPr="000C65B2">
              <w:rPr>
                <w:rFonts w:eastAsia="Times New Roman" w:cstheme="minorHAnsi"/>
                <w:sz w:val="16"/>
                <w:szCs w:val="16"/>
                <w:lang w:eastAsia="en-AU"/>
              </w:rPr>
              <w:t xml:space="preserve"> (ABS)</w:t>
            </w:r>
            <w:r w:rsidRPr="000C65B2">
              <w:rPr>
                <w:rFonts w:eastAsia="Times New Roman" w:cstheme="minorHAnsi"/>
                <w:sz w:val="16"/>
                <w:szCs w:val="16"/>
                <w:lang w:eastAsia="en-AU"/>
              </w:rPr>
              <w:t xml:space="preserve"> 2016 Census of Population and Housing, Launceston and North East (602) Time Series Profile, Catalogue Number 2003.0, T03 Age by Sex, Count of Persons</w:t>
            </w:r>
          </w:p>
        </w:tc>
      </w:tr>
      <w:tr w:rsidR="00AD102F" w:rsidRPr="000C65B2" w14:paraId="4FECB253" w14:textId="3D4FEAD6" w:rsidTr="005E1F65">
        <w:trPr>
          <w:trHeight w:val="1474"/>
        </w:trPr>
        <w:tc>
          <w:tcPr>
            <w:tcW w:w="2268" w:type="dxa"/>
            <w:tcBorders>
              <w:top w:val="single" w:sz="18" w:space="0" w:color="00BCDA"/>
              <w:bottom w:val="single" w:sz="18" w:space="0" w:color="00BCDA"/>
            </w:tcBorders>
            <w:shd w:val="clear" w:color="auto" w:fill="E7E6E6" w:themeFill="background2"/>
            <w:vAlign w:val="center"/>
          </w:tcPr>
          <w:p w14:paraId="2AC8520E" w14:textId="77777777" w:rsidR="00AD102F" w:rsidRPr="00DB15AE" w:rsidRDefault="00AD102F" w:rsidP="00DB15AE">
            <w:pPr>
              <w:spacing w:before="60" w:after="60"/>
              <w:jc w:val="center"/>
              <w:rPr>
                <w:rFonts w:cstheme="minorHAnsi"/>
                <w:color w:val="00BCDA"/>
                <w:sz w:val="24"/>
                <w:szCs w:val="20"/>
              </w:rPr>
            </w:pPr>
            <w:r w:rsidRPr="00DB15AE">
              <w:rPr>
                <w:rFonts w:cstheme="minorHAnsi"/>
                <w:color w:val="00BCDA"/>
                <w:sz w:val="24"/>
                <w:szCs w:val="20"/>
              </w:rPr>
              <w:t>Age profile</w:t>
            </w:r>
          </w:p>
        </w:tc>
        <w:tc>
          <w:tcPr>
            <w:tcW w:w="4001" w:type="dxa"/>
            <w:tcBorders>
              <w:top w:val="single" w:sz="18" w:space="0" w:color="00BCDA"/>
              <w:bottom w:val="single" w:sz="18" w:space="0" w:color="00BCDA"/>
            </w:tcBorders>
            <w:shd w:val="clear" w:color="auto" w:fill="auto"/>
            <w:vAlign w:val="center"/>
          </w:tcPr>
          <w:p w14:paraId="6200B355" w14:textId="439BF4D9" w:rsidR="00AD102F" w:rsidRPr="000C65B2" w:rsidRDefault="00AD102F" w:rsidP="00126C2E">
            <w:pPr>
              <w:tabs>
                <w:tab w:val="left" w:pos="4616"/>
              </w:tabs>
              <w:spacing w:before="60" w:after="60"/>
              <w:rPr>
                <w:rFonts w:eastAsia="Times New Roman" w:cstheme="minorHAnsi"/>
                <w:szCs w:val="20"/>
                <w:lang w:eastAsia="en-AU"/>
              </w:rPr>
            </w:pPr>
            <w:r w:rsidRPr="000C65B2">
              <w:rPr>
                <w:rFonts w:eastAsia="Times New Roman" w:cstheme="minorHAnsi"/>
                <w:szCs w:val="20"/>
                <w:lang w:eastAsia="en-AU"/>
              </w:rPr>
              <w:t>The age profile of the region is based on place of usual residence.  Understanding the age profile of the region helps to predict service demand such as health and education and also to understand the working age population.</w:t>
            </w:r>
          </w:p>
        </w:tc>
        <w:tc>
          <w:tcPr>
            <w:tcW w:w="4221" w:type="dxa"/>
            <w:tcBorders>
              <w:top w:val="single" w:sz="18" w:space="0" w:color="00BCDA"/>
              <w:bottom w:val="single" w:sz="18" w:space="0" w:color="00BCDA"/>
            </w:tcBorders>
            <w:vAlign w:val="center"/>
          </w:tcPr>
          <w:p w14:paraId="3DF0F0BB" w14:textId="63D568DC" w:rsidR="00AD102F" w:rsidRPr="000C65B2" w:rsidRDefault="000F795C" w:rsidP="00126C2E">
            <w:pPr>
              <w:rPr>
                <w:rFonts w:eastAsia="Times New Roman" w:cstheme="minorHAnsi"/>
                <w:sz w:val="16"/>
                <w:szCs w:val="16"/>
                <w:lang w:eastAsia="en-AU"/>
              </w:rPr>
            </w:pPr>
            <w:r w:rsidRPr="000C65B2">
              <w:rPr>
                <w:rFonts w:eastAsia="Times New Roman" w:cstheme="minorHAnsi"/>
                <w:sz w:val="16"/>
                <w:szCs w:val="16"/>
                <w:lang w:eastAsia="en-AU"/>
              </w:rPr>
              <w:t>ABS</w:t>
            </w:r>
            <w:r w:rsidR="00AD102F" w:rsidRPr="000C65B2">
              <w:rPr>
                <w:rFonts w:eastAsia="Times New Roman" w:cstheme="minorHAnsi"/>
                <w:sz w:val="16"/>
                <w:szCs w:val="16"/>
                <w:lang w:eastAsia="en-AU"/>
              </w:rPr>
              <w:t xml:space="preserve"> 2016 Census of Population and Housing, Launceston and North East (602) </w:t>
            </w:r>
            <w:r w:rsidR="00947375" w:rsidRPr="000C65B2">
              <w:rPr>
                <w:rFonts w:eastAsia="Times New Roman" w:cstheme="minorHAnsi"/>
                <w:sz w:val="16"/>
                <w:szCs w:val="16"/>
                <w:lang w:eastAsia="en-AU"/>
              </w:rPr>
              <w:t xml:space="preserve">and Tasmania (6) </w:t>
            </w:r>
            <w:r w:rsidR="00AD102F" w:rsidRPr="000C65B2">
              <w:rPr>
                <w:rFonts w:eastAsia="Times New Roman" w:cstheme="minorHAnsi"/>
                <w:sz w:val="16"/>
                <w:szCs w:val="16"/>
                <w:lang w:eastAsia="en-AU"/>
              </w:rPr>
              <w:t>Time Series Profile, Catalogue Number 2003.0, T03 Age by Sex, Count of Persons</w:t>
            </w:r>
          </w:p>
        </w:tc>
      </w:tr>
      <w:tr w:rsidR="00AD102F" w:rsidRPr="000C65B2" w14:paraId="6AA637F4" w14:textId="5F4FF95E" w:rsidTr="005E1F65">
        <w:trPr>
          <w:trHeight w:val="1474"/>
        </w:trPr>
        <w:tc>
          <w:tcPr>
            <w:tcW w:w="2268" w:type="dxa"/>
            <w:tcBorders>
              <w:top w:val="single" w:sz="18" w:space="0" w:color="00BCDA"/>
            </w:tcBorders>
            <w:shd w:val="clear" w:color="auto" w:fill="E7E6E6" w:themeFill="background2"/>
            <w:vAlign w:val="center"/>
          </w:tcPr>
          <w:p w14:paraId="4681E9F3" w14:textId="2401D8AE" w:rsidR="00AD102F" w:rsidRPr="00DB15AE" w:rsidRDefault="00AD102F" w:rsidP="00DB15AE">
            <w:pPr>
              <w:spacing w:before="60" w:after="60"/>
              <w:jc w:val="center"/>
              <w:rPr>
                <w:rFonts w:cstheme="minorHAnsi"/>
                <w:color w:val="00BCDA"/>
                <w:sz w:val="24"/>
                <w:szCs w:val="20"/>
              </w:rPr>
            </w:pPr>
            <w:r w:rsidRPr="00DB15AE">
              <w:rPr>
                <w:rFonts w:cstheme="minorHAnsi"/>
                <w:color w:val="00BCDA"/>
                <w:sz w:val="24"/>
                <w:szCs w:val="20"/>
              </w:rPr>
              <w:t>Domestic and international migration</w:t>
            </w:r>
          </w:p>
        </w:tc>
        <w:tc>
          <w:tcPr>
            <w:tcW w:w="4001" w:type="dxa"/>
            <w:tcBorders>
              <w:top w:val="single" w:sz="18" w:space="0" w:color="00BCDA"/>
            </w:tcBorders>
            <w:vAlign w:val="center"/>
          </w:tcPr>
          <w:p w14:paraId="00F8FA47" w14:textId="29AFB238" w:rsidR="00AD102F" w:rsidRPr="000C65B2" w:rsidRDefault="00AD102F" w:rsidP="00126C2E">
            <w:pPr>
              <w:tabs>
                <w:tab w:val="left" w:pos="4616"/>
              </w:tabs>
              <w:spacing w:before="60" w:after="60"/>
              <w:rPr>
                <w:rFonts w:eastAsia="Times New Roman" w:cstheme="minorHAnsi"/>
                <w:bCs/>
                <w:i/>
                <w:szCs w:val="20"/>
                <w:lang w:eastAsia="en-AU"/>
              </w:rPr>
            </w:pPr>
            <w:r w:rsidRPr="000C65B2">
              <w:rPr>
                <w:rFonts w:cstheme="minorHAnsi"/>
                <w:szCs w:val="20"/>
              </w:rPr>
              <w:t>A person's place of usual residence five years before the Census providing an indication of the stability of the population and the amount of domestic and international migration.</w:t>
            </w:r>
          </w:p>
        </w:tc>
        <w:tc>
          <w:tcPr>
            <w:tcW w:w="4221" w:type="dxa"/>
            <w:tcBorders>
              <w:top w:val="single" w:sz="18" w:space="0" w:color="00BCDA"/>
            </w:tcBorders>
            <w:vAlign w:val="center"/>
          </w:tcPr>
          <w:p w14:paraId="46308E05" w14:textId="36F43C76" w:rsidR="00947375" w:rsidRPr="000C65B2" w:rsidRDefault="00947375" w:rsidP="00126C2E">
            <w:pPr>
              <w:rPr>
                <w:rFonts w:eastAsia="Times New Roman" w:cs="Calibri"/>
                <w:iCs/>
                <w:color w:val="000000"/>
                <w:sz w:val="16"/>
                <w:szCs w:val="16"/>
                <w:lang w:eastAsia="en-AU"/>
              </w:rPr>
            </w:pPr>
            <w:r w:rsidRPr="000C65B2">
              <w:rPr>
                <w:rFonts w:eastAsia="Times New Roman" w:cs="Calibri"/>
                <w:iCs/>
                <w:color w:val="000000"/>
                <w:sz w:val="16"/>
                <w:szCs w:val="16"/>
                <w:lang w:eastAsia="en-AU"/>
              </w:rPr>
              <w:t>2006 Source - Australian Bureau of Statistics 2006 Census of Population and Housing, Northern (SRS 61042) and Tasmania (SRS 6), General Community Profile, Catalogue 2001.0, B38 Place of Usual Residence 5 Years Ago by Sex, Count of persons aged 5 years and over</w:t>
            </w:r>
          </w:p>
          <w:p w14:paraId="4FC51EDF" w14:textId="52C05C33" w:rsidR="00947375" w:rsidRPr="000C65B2" w:rsidRDefault="00947375" w:rsidP="00126C2E">
            <w:pPr>
              <w:rPr>
                <w:rFonts w:eastAsia="Times New Roman" w:cs="Calibri"/>
                <w:iCs/>
                <w:color w:val="000000"/>
                <w:sz w:val="16"/>
                <w:szCs w:val="16"/>
                <w:lang w:eastAsia="en-AU"/>
              </w:rPr>
            </w:pPr>
            <w:r w:rsidRPr="000C65B2">
              <w:rPr>
                <w:rFonts w:eastAsia="Times New Roman" w:cs="Calibri"/>
                <w:iCs/>
                <w:color w:val="000000"/>
                <w:sz w:val="16"/>
                <w:szCs w:val="16"/>
                <w:lang w:eastAsia="en-AU"/>
              </w:rPr>
              <w:t>2011 Source - Australian Bureau of Statistics 2011 Census of Population and Housing, Launceston and North East (602) and Tasmania (6), General Community Profile, Catalogue 2001.0, B39 Place of Usual Residence 5 Years Ago by Sex, Count of persons aged 5 years and over</w:t>
            </w:r>
          </w:p>
          <w:p w14:paraId="1A1E7746" w14:textId="389DE87E" w:rsidR="00AD102F" w:rsidRPr="000C65B2" w:rsidRDefault="00947375" w:rsidP="00126C2E">
            <w:pPr>
              <w:rPr>
                <w:rFonts w:eastAsia="Times New Roman" w:cs="Calibri"/>
                <w:iCs/>
                <w:color w:val="000000"/>
                <w:sz w:val="16"/>
                <w:szCs w:val="16"/>
                <w:lang w:eastAsia="en-AU"/>
              </w:rPr>
            </w:pPr>
            <w:r w:rsidRPr="000C65B2">
              <w:rPr>
                <w:rFonts w:eastAsia="Times New Roman" w:cs="Calibri"/>
                <w:iCs/>
                <w:color w:val="000000"/>
                <w:sz w:val="16"/>
                <w:szCs w:val="16"/>
                <w:lang w:eastAsia="en-AU"/>
              </w:rPr>
              <w:t>2016 Source—Australian Bureau of Statistics 2016 Census of Population and Housing, Launceston and North East (602) and Tasmania (6), General Community Profile, Catalogue 2001.0, G42 Place of Usual Residence 5 Years Ago by Sex, Count of persons aged 5 years and over</w:t>
            </w:r>
          </w:p>
        </w:tc>
      </w:tr>
    </w:tbl>
    <w:p w14:paraId="4CBF885E" w14:textId="77777777" w:rsidR="00602E63" w:rsidRDefault="00602E63">
      <w:pPr>
        <w:rPr>
          <w:rFonts w:eastAsiaTheme="majorEastAsia" w:cstheme="majorBidi"/>
          <w:color w:val="00BCDA"/>
          <w:sz w:val="48"/>
          <w:szCs w:val="32"/>
        </w:rPr>
      </w:pPr>
      <w:r>
        <w:br w:type="page"/>
      </w:r>
    </w:p>
    <w:p w14:paraId="50270315" w14:textId="642E0FC0" w:rsidR="00463E46" w:rsidRPr="000C65B2" w:rsidRDefault="00D17722" w:rsidP="000A5B6A">
      <w:pPr>
        <w:pStyle w:val="Heading1"/>
      </w:pPr>
      <w:r>
        <w:rPr>
          <w:noProof/>
          <w:lang w:eastAsia="en-AU"/>
        </w:rPr>
        <w:lastRenderedPageBreak/>
        <w:drawing>
          <wp:anchor distT="0" distB="0" distL="114300" distR="114300" simplePos="0" relativeHeight="251661312" behindDoc="1" locked="0" layoutInCell="1" allowOverlap="1" wp14:anchorId="4F6A4C69" wp14:editId="73197758">
            <wp:simplePos x="0" y="0"/>
            <wp:positionH relativeFrom="margin">
              <wp:align>right</wp:align>
            </wp:positionH>
            <wp:positionV relativeFrom="margin">
              <wp:posOffset>-230385</wp:posOffset>
            </wp:positionV>
            <wp:extent cx="2268220" cy="720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Tasmania Graphics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8220" cy="720090"/>
                    </a:xfrm>
                    <a:prstGeom prst="rect">
                      <a:avLst/>
                    </a:prstGeom>
                  </pic:spPr>
                </pic:pic>
              </a:graphicData>
            </a:graphic>
            <wp14:sizeRelH relativeFrom="page">
              <wp14:pctWidth>0</wp14:pctWidth>
            </wp14:sizeRelH>
            <wp14:sizeRelV relativeFrom="page">
              <wp14:pctHeight>0</wp14:pctHeight>
            </wp14:sizeRelV>
          </wp:anchor>
        </w:drawing>
      </w:r>
      <w:r w:rsidR="00D6753A">
        <w:rPr>
          <w:noProof/>
          <w:lang w:eastAsia="en-AU"/>
        </w:rPr>
        <w:drawing>
          <wp:anchor distT="0" distB="0" distL="114300" distR="114300" simplePos="0" relativeHeight="251659264" behindDoc="1" locked="0" layoutInCell="1" allowOverlap="1" wp14:anchorId="700BEBAB" wp14:editId="33045E96">
            <wp:simplePos x="0" y="0"/>
            <wp:positionH relativeFrom="column">
              <wp:posOffset>1090246</wp:posOffset>
            </wp:positionH>
            <wp:positionV relativeFrom="paragraph">
              <wp:posOffset>464450</wp:posOffset>
            </wp:positionV>
            <wp:extent cx="1166057" cy="4628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ern Tasmania Graphic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6777" cy="467153"/>
                    </a:xfrm>
                    <a:prstGeom prst="rect">
                      <a:avLst/>
                    </a:prstGeom>
                  </pic:spPr>
                </pic:pic>
              </a:graphicData>
            </a:graphic>
            <wp14:sizeRelH relativeFrom="page">
              <wp14:pctWidth>0</wp14:pctWidth>
            </wp14:sizeRelH>
            <wp14:sizeRelV relativeFrom="page">
              <wp14:pctHeight>0</wp14:pctHeight>
            </wp14:sizeRelV>
          </wp:anchor>
        </w:drawing>
      </w:r>
      <w:r w:rsidR="008F76D9" w:rsidRPr="000C65B2">
        <w:t>Participation</w:t>
      </w:r>
    </w:p>
    <w:p w14:paraId="03AE25E8" w14:textId="624DF7F3" w:rsidR="00810359" w:rsidRPr="000C65B2" w:rsidRDefault="00810359" w:rsidP="000A5B6A">
      <w:pPr>
        <w:pStyle w:val="Heading2"/>
      </w:pPr>
      <w:r w:rsidRPr="000C65B2">
        <w:t>Education</w:t>
      </w:r>
    </w:p>
    <w:tbl>
      <w:tblPr>
        <w:tblStyle w:val="TableGrid"/>
        <w:tblW w:w="10490" w:type="dxa"/>
        <w:tblBorders>
          <w:top w:val="none" w:sz="0" w:space="0" w:color="auto"/>
          <w:left w:val="none" w:sz="0" w:space="0" w:color="auto"/>
          <w:bottom w:val="none" w:sz="0" w:space="0" w:color="auto"/>
          <w:right w:val="none" w:sz="0" w:space="0" w:color="auto"/>
          <w:insideH w:val="single" w:sz="4" w:space="0" w:color="D0CECE" w:themeColor="background2" w:themeShade="E6"/>
          <w:insideV w:val="none" w:sz="0" w:space="0" w:color="auto"/>
        </w:tblBorders>
        <w:tblLook w:val="04A0" w:firstRow="1" w:lastRow="0" w:firstColumn="1" w:lastColumn="0" w:noHBand="0" w:noVBand="1"/>
      </w:tblPr>
      <w:tblGrid>
        <w:gridCol w:w="2552"/>
        <w:gridCol w:w="3685"/>
        <w:gridCol w:w="4253"/>
      </w:tblGrid>
      <w:tr w:rsidR="00AD102F" w:rsidRPr="000C65B2" w14:paraId="3671F5B7" w14:textId="77777777" w:rsidTr="00BB41FA">
        <w:trPr>
          <w:trHeight w:val="1304"/>
        </w:trPr>
        <w:tc>
          <w:tcPr>
            <w:tcW w:w="2552" w:type="dxa"/>
            <w:tcBorders>
              <w:bottom w:val="single" w:sz="18" w:space="0" w:color="00BCDA"/>
            </w:tcBorders>
            <w:shd w:val="clear" w:color="auto" w:fill="E7E6E6" w:themeFill="background2"/>
            <w:vAlign w:val="center"/>
          </w:tcPr>
          <w:p w14:paraId="4AF0F0A0" w14:textId="35BE26C6" w:rsidR="00AD102F" w:rsidRPr="001436CA" w:rsidRDefault="00AD102F" w:rsidP="001436CA">
            <w:pPr>
              <w:spacing w:before="60" w:after="60"/>
              <w:jc w:val="center"/>
              <w:rPr>
                <w:rFonts w:cstheme="minorHAnsi"/>
                <w:color w:val="00BCDA"/>
                <w:sz w:val="24"/>
                <w:szCs w:val="20"/>
              </w:rPr>
            </w:pPr>
            <w:r w:rsidRPr="001436CA">
              <w:rPr>
                <w:rFonts w:cstheme="minorHAnsi"/>
                <w:color w:val="00BCDA"/>
                <w:sz w:val="24"/>
                <w:szCs w:val="20"/>
              </w:rPr>
              <w:t xml:space="preserve">Year 12 </w:t>
            </w:r>
            <w:r w:rsidR="001436CA">
              <w:rPr>
                <w:rFonts w:cstheme="minorHAnsi"/>
                <w:color w:val="00BCDA"/>
                <w:sz w:val="24"/>
                <w:szCs w:val="20"/>
              </w:rPr>
              <w:br/>
            </w:r>
            <w:r w:rsidRPr="001436CA">
              <w:rPr>
                <w:rFonts w:cstheme="minorHAnsi"/>
                <w:color w:val="00BCDA"/>
                <w:sz w:val="24"/>
                <w:szCs w:val="20"/>
              </w:rPr>
              <w:t>completion rates</w:t>
            </w:r>
          </w:p>
        </w:tc>
        <w:tc>
          <w:tcPr>
            <w:tcW w:w="3685" w:type="dxa"/>
            <w:tcBorders>
              <w:bottom w:val="single" w:sz="18" w:space="0" w:color="00BCDA"/>
            </w:tcBorders>
            <w:vAlign w:val="center"/>
          </w:tcPr>
          <w:p w14:paraId="392C15CF" w14:textId="3C139DBE" w:rsidR="00AD102F" w:rsidRPr="000C65B2" w:rsidRDefault="00397A84" w:rsidP="00397A84">
            <w:pPr>
              <w:tabs>
                <w:tab w:val="left" w:pos="4616"/>
              </w:tabs>
              <w:spacing w:before="60" w:after="60"/>
              <w:rPr>
                <w:rFonts w:cstheme="minorHAnsi"/>
                <w:szCs w:val="20"/>
              </w:rPr>
            </w:pPr>
            <w:r w:rsidRPr="000C65B2">
              <w:rPr>
                <w:rFonts w:cstheme="minorHAnsi"/>
                <w:szCs w:val="20"/>
              </w:rPr>
              <w:t>The</w:t>
            </w:r>
            <w:r w:rsidR="00AD102F" w:rsidRPr="000C65B2">
              <w:rPr>
                <w:rFonts w:cstheme="minorHAnsi"/>
                <w:szCs w:val="20"/>
              </w:rPr>
              <w:t xml:space="preserve"> number of Year 12 students</w:t>
            </w:r>
            <w:r w:rsidR="00AC6C9C" w:rsidRPr="000C65B2">
              <w:rPr>
                <w:rFonts w:cstheme="minorHAnsi"/>
                <w:szCs w:val="20"/>
              </w:rPr>
              <w:t xml:space="preserve"> and the </w:t>
            </w:r>
            <w:r w:rsidR="00AD102F" w:rsidRPr="000C65B2">
              <w:rPr>
                <w:rFonts w:cstheme="minorHAnsi"/>
                <w:szCs w:val="20"/>
              </w:rPr>
              <w:t>proportion of students who achieved a Tasmanian Certificate of Education (TCE)</w:t>
            </w:r>
            <w:r w:rsidR="00AC6C9C" w:rsidRPr="000C65B2">
              <w:rPr>
                <w:rFonts w:cstheme="minorHAnsi"/>
                <w:szCs w:val="20"/>
              </w:rPr>
              <w:t xml:space="preserve"> and </w:t>
            </w:r>
            <w:r w:rsidR="00AD102F" w:rsidRPr="000C65B2">
              <w:rPr>
                <w:rFonts w:cstheme="minorHAnsi"/>
                <w:szCs w:val="20"/>
              </w:rPr>
              <w:t>an Australian Tertiary Admission Rank (ATAR).</w:t>
            </w:r>
          </w:p>
        </w:tc>
        <w:tc>
          <w:tcPr>
            <w:tcW w:w="4253" w:type="dxa"/>
            <w:tcBorders>
              <w:bottom w:val="single" w:sz="18" w:space="0" w:color="00BCDA"/>
            </w:tcBorders>
            <w:vAlign w:val="center"/>
          </w:tcPr>
          <w:p w14:paraId="07976F38" w14:textId="77777777" w:rsidR="00947375" w:rsidRPr="000C65B2" w:rsidRDefault="00AD102F" w:rsidP="00AC6C9C">
            <w:pPr>
              <w:rPr>
                <w:rFonts w:eastAsia="Times New Roman" w:cstheme="minorHAnsi"/>
                <w:sz w:val="16"/>
                <w:szCs w:val="16"/>
                <w:lang w:eastAsia="en-AU"/>
              </w:rPr>
            </w:pPr>
            <w:r w:rsidRPr="000C65B2">
              <w:rPr>
                <w:rFonts w:eastAsia="Times New Roman" w:cstheme="minorHAnsi"/>
                <w:sz w:val="16"/>
                <w:szCs w:val="16"/>
                <w:lang w:eastAsia="en-AU"/>
              </w:rPr>
              <w:t xml:space="preserve">Office of Tasmanian Assessment, Standards and Certification (TASC), </w:t>
            </w:r>
          </w:p>
          <w:p w14:paraId="4D1A9F69" w14:textId="57926D5E" w:rsidR="00AD102F" w:rsidRPr="000C65B2" w:rsidRDefault="00AD102F" w:rsidP="00947375">
            <w:pPr>
              <w:pStyle w:val="ListParagraph"/>
              <w:numPr>
                <w:ilvl w:val="0"/>
                <w:numId w:val="2"/>
              </w:numPr>
              <w:ind w:left="176" w:hanging="142"/>
              <w:rPr>
                <w:rFonts w:eastAsia="Times New Roman" w:cstheme="minorHAnsi"/>
                <w:sz w:val="16"/>
                <w:szCs w:val="16"/>
                <w:lang w:eastAsia="en-AU"/>
              </w:rPr>
            </w:pPr>
            <w:r w:rsidRPr="000C65B2">
              <w:rPr>
                <w:rFonts w:eastAsia="Times New Roman" w:cstheme="minorHAnsi"/>
                <w:sz w:val="16"/>
                <w:szCs w:val="16"/>
                <w:lang w:eastAsia="en-AU"/>
              </w:rPr>
              <w:t>Attainment Profile for schools in Northern Tasmania Region</w:t>
            </w:r>
          </w:p>
          <w:p w14:paraId="392E9873" w14:textId="77777777" w:rsidR="00947375" w:rsidRPr="000C65B2" w:rsidRDefault="00947375" w:rsidP="00947375">
            <w:pPr>
              <w:pStyle w:val="ListParagraph"/>
              <w:numPr>
                <w:ilvl w:val="0"/>
                <w:numId w:val="2"/>
              </w:numPr>
              <w:ind w:left="176" w:hanging="142"/>
              <w:rPr>
                <w:rFonts w:cstheme="minorHAnsi"/>
              </w:rPr>
            </w:pPr>
            <w:r w:rsidRPr="000C65B2">
              <w:rPr>
                <w:rFonts w:eastAsia="Times New Roman" w:cs="Times New Roman"/>
                <w:sz w:val="16"/>
                <w:szCs w:val="16"/>
                <w:lang w:eastAsia="en-AU"/>
              </w:rPr>
              <w:t xml:space="preserve">State Level Direct Continuation Data 2012-2016; </w:t>
            </w:r>
          </w:p>
          <w:p w14:paraId="184BFE92" w14:textId="4B9B4AEB" w:rsidR="00947375" w:rsidRPr="000C65B2" w:rsidRDefault="00947375" w:rsidP="00947375">
            <w:pPr>
              <w:pStyle w:val="ListParagraph"/>
              <w:numPr>
                <w:ilvl w:val="0"/>
                <w:numId w:val="2"/>
              </w:numPr>
              <w:ind w:left="176" w:hanging="142"/>
              <w:rPr>
                <w:rFonts w:cstheme="minorHAnsi"/>
              </w:rPr>
            </w:pPr>
            <w:r w:rsidRPr="000C65B2">
              <w:rPr>
                <w:rFonts w:eastAsia="Times New Roman" w:cs="Times New Roman"/>
                <w:sz w:val="16"/>
                <w:szCs w:val="16"/>
                <w:lang w:eastAsia="en-AU"/>
              </w:rPr>
              <w:t>Tasmanian Certificate of Education (TCE) Rates of Attainment 2012-2016.</w:t>
            </w:r>
          </w:p>
        </w:tc>
      </w:tr>
      <w:tr w:rsidR="00AD102F" w:rsidRPr="000C65B2" w14:paraId="511F59C8" w14:textId="77777777" w:rsidTr="00BB41FA">
        <w:trPr>
          <w:trHeight w:val="1304"/>
        </w:trPr>
        <w:tc>
          <w:tcPr>
            <w:tcW w:w="2552" w:type="dxa"/>
            <w:tcBorders>
              <w:top w:val="single" w:sz="18" w:space="0" w:color="00BCDA"/>
              <w:bottom w:val="single" w:sz="18" w:space="0" w:color="00BCDA"/>
            </w:tcBorders>
            <w:shd w:val="clear" w:color="auto" w:fill="E7E6E6" w:themeFill="background2"/>
            <w:vAlign w:val="center"/>
          </w:tcPr>
          <w:p w14:paraId="4CEC3CAE" w14:textId="479A139C" w:rsidR="00AD102F" w:rsidRPr="001436CA" w:rsidRDefault="00AD102F" w:rsidP="001436CA">
            <w:pPr>
              <w:spacing w:before="60" w:after="60"/>
              <w:jc w:val="center"/>
              <w:rPr>
                <w:rFonts w:cstheme="minorHAnsi"/>
                <w:color w:val="00BCDA"/>
                <w:sz w:val="24"/>
                <w:szCs w:val="20"/>
              </w:rPr>
            </w:pPr>
            <w:r w:rsidRPr="001436CA">
              <w:rPr>
                <w:rFonts w:cstheme="minorHAnsi"/>
                <w:color w:val="00BCDA"/>
                <w:sz w:val="24"/>
                <w:szCs w:val="20"/>
              </w:rPr>
              <w:t>Vocational Education and Training (VET)</w:t>
            </w:r>
          </w:p>
        </w:tc>
        <w:tc>
          <w:tcPr>
            <w:tcW w:w="3685" w:type="dxa"/>
            <w:tcBorders>
              <w:top w:val="single" w:sz="18" w:space="0" w:color="00BCDA"/>
              <w:bottom w:val="single" w:sz="18" w:space="0" w:color="00BCDA"/>
            </w:tcBorders>
            <w:vAlign w:val="center"/>
          </w:tcPr>
          <w:p w14:paraId="135EBD8A" w14:textId="0729AFD2" w:rsidR="00AD102F" w:rsidRPr="000C65B2" w:rsidRDefault="00AD102F" w:rsidP="00397A84">
            <w:pPr>
              <w:spacing w:before="60" w:after="60"/>
              <w:rPr>
                <w:rFonts w:cstheme="minorHAnsi"/>
                <w:szCs w:val="20"/>
              </w:rPr>
            </w:pPr>
            <w:r w:rsidRPr="000C65B2">
              <w:rPr>
                <w:rFonts w:cstheme="minorHAnsi"/>
                <w:szCs w:val="20"/>
              </w:rPr>
              <w:t>VET enrolments and completions</w:t>
            </w:r>
          </w:p>
        </w:tc>
        <w:tc>
          <w:tcPr>
            <w:tcW w:w="4253" w:type="dxa"/>
            <w:tcBorders>
              <w:top w:val="single" w:sz="18" w:space="0" w:color="00BCDA"/>
              <w:bottom w:val="single" w:sz="18" w:space="0" w:color="00BCDA"/>
            </w:tcBorders>
            <w:vAlign w:val="center"/>
          </w:tcPr>
          <w:p w14:paraId="1DE0B8D4" w14:textId="3919B77F" w:rsidR="00AD102F" w:rsidRPr="000C65B2" w:rsidRDefault="00AD102F" w:rsidP="00AC6C9C">
            <w:pPr>
              <w:rPr>
                <w:rFonts w:cstheme="minorHAnsi"/>
              </w:rPr>
            </w:pPr>
            <w:r w:rsidRPr="000C65B2">
              <w:rPr>
                <w:rFonts w:eastAsia="Times New Roman" w:cstheme="minorHAnsi"/>
                <w:sz w:val="16"/>
                <w:szCs w:val="16"/>
                <w:lang w:eastAsia="en-AU"/>
              </w:rPr>
              <w:t>National Centre for Vocational Education Research [https://www.ncver.edu.au/] as compiled by Skills Tasmania</w:t>
            </w:r>
          </w:p>
        </w:tc>
      </w:tr>
      <w:tr w:rsidR="00AD102F" w:rsidRPr="000C65B2" w14:paraId="3B7D1734" w14:textId="77777777" w:rsidTr="00BB41FA">
        <w:trPr>
          <w:trHeight w:val="1304"/>
        </w:trPr>
        <w:tc>
          <w:tcPr>
            <w:tcW w:w="2552" w:type="dxa"/>
            <w:tcBorders>
              <w:top w:val="single" w:sz="18" w:space="0" w:color="00BCDA"/>
              <w:bottom w:val="single" w:sz="18" w:space="0" w:color="00BCDA"/>
            </w:tcBorders>
            <w:shd w:val="clear" w:color="auto" w:fill="E7E6E6" w:themeFill="background2"/>
            <w:vAlign w:val="center"/>
          </w:tcPr>
          <w:p w14:paraId="3AC43369" w14:textId="1E3BA986" w:rsidR="00AD102F" w:rsidRPr="001436CA" w:rsidRDefault="00337320" w:rsidP="001436CA">
            <w:pPr>
              <w:spacing w:before="60" w:after="60"/>
              <w:jc w:val="center"/>
              <w:rPr>
                <w:rFonts w:cstheme="minorHAnsi"/>
                <w:color w:val="00BCDA"/>
                <w:sz w:val="24"/>
                <w:szCs w:val="20"/>
              </w:rPr>
            </w:pPr>
            <w:r w:rsidRPr="001436CA">
              <w:rPr>
                <w:rFonts w:cstheme="minorHAnsi"/>
                <w:color w:val="00BCDA"/>
                <w:sz w:val="24"/>
                <w:szCs w:val="20"/>
              </w:rPr>
              <w:t>University of Tasmania</w:t>
            </w:r>
          </w:p>
        </w:tc>
        <w:tc>
          <w:tcPr>
            <w:tcW w:w="3685" w:type="dxa"/>
            <w:tcBorders>
              <w:top w:val="single" w:sz="18" w:space="0" w:color="00BCDA"/>
              <w:bottom w:val="single" w:sz="18" w:space="0" w:color="00BCDA"/>
            </w:tcBorders>
            <w:vAlign w:val="center"/>
          </w:tcPr>
          <w:p w14:paraId="13036674" w14:textId="3519D441" w:rsidR="00AD102F" w:rsidRPr="000C65B2" w:rsidRDefault="00337320" w:rsidP="00397A84">
            <w:pPr>
              <w:spacing w:before="60" w:after="60"/>
              <w:rPr>
                <w:rFonts w:cstheme="minorHAnsi"/>
                <w:szCs w:val="20"/>
              </w:rPr>
            </w:pPr>
            <w:r w:rsidRPr="000C65B2">
              <w:rPr>
                <w:rFonts w:cstheme="minorHAnsi"/>
                <w:szCs w:val="20"/>
              </w:rPr>
              <w:t>UTAS enrolments and completions at its Northern Tasmania campuses</w:t>
            </w:r>
          </w:p>
        </w:tc>
        <w:tc>
          <w:tcPr>
            <w:tcW w:w="4253" w:type="dxa"/>
            <w:tcBorders>
              <w:top w:val="single" w:sz="18" w:space="0" w:color="00BCDA"/>
              <w:bottom w:val="single" w:sz="18" w:space="0" w:color="00BCDA"/>
            </w:tcBorders>
            <w:vAlign w:val="center"/>
          </w:tcPr>
          <w:p w14:paraId="13F51040" w14:textId="4BBC79E1" w:rsidR="00AD102F" w:rsidRPr="000C65B2" w:rsidRDefault="00337320" w:rsidP="00AC6C9C">
            <w:pPr>
              <w:rPr>
                <w:rFonts w:cstheme="minorHAnsi"/>
              </w:rPr>
            </w:pPr>
            <w:r w:rsidRPr="000C65B2">
              <w:rPr>
                <w:rFonts w:eastAsia="Times New Roman" w:cs="Times New Roman"/>
                <w:sz w:val="16"/>
                <w:szCs w:val="16"/>
                <w:lang w:eastAsia="en-AU"/>
              </w:rPr>
              <w:t>University of Tasmania as compiled by the Business Intelligence and Institutional Performance Division [bi.info@utas.edu.au]</w:t>
            </w:r>
          </w:p>
        </w:tc>
      </w:tr>
      <w:tr w:rsidR="00AD102F" w:rsidRPr="000C65B2" w14:paraId="60CB57B4" w14:textId="77777777" w:rsidTr="00BB41FA">
        <w:trPr>
          <w:trHeight w:val="1304"/>
        </w:trPr>
        <w:tc>
          <w:tcPr>
            <w:tcW w:w="2552" w:type="dxa"/>
            <w:tcBorders>
              <w:top w:val="single" w:sz="18" w:space="0" w:color="00BCDA"/>
              <w:bottom w:val="single" w:sz="18" w:space="0" w:color="00BCDA"/>
            </w:tcBorders>
            <w:shd w:val="clear" w:color="auto" w:fill="E7E6E6" w:themeFill="background2"/>
            <w:vAlign w:val="center"/>
          </w:tcPr>
          <w:p w14:paraId="48F00952" w14:textId="604798CF" w:rsidR="00AD102F" w:rsidRPr="001436CA" w:rsidRDefault="00AD102F" w:rsidP="001436CA">
            <w:pPr>
              <w:spacing w:before="60" w:after="60"/>
              <w:jc w:val="center"/>
              <w:rPr>
                <w:rFonts w:cstheme="minorHAnsi"/>
                <w:color w:val="00BCDA"/>
                <w:sz w:val="24"/>
                <w:szCs w:val="20"/>
              </w:rPr>
            </w:pPr>
            <w:r w:rsidRPr="001436CA">
              <w:rPr>
                <w:rFonts w:cstheme="minorHAnsi"/>
                <w:color w:val="00BCDA"/>
                <w:sz w:val="24"/>
                <w:szCs w:val="20"/>
              </w:rPr>
              <w:t>International students</w:t>
            </w:r>
          </w:p>
        </w:tc>
        <w:tc>
          <w:tcPr>
            <w:tcW w:w="3685" w:type="dxa"/>
            <w:tcBorders>
              <w:top w:val="single" w:sz="18" w:space="0" w:color="00BCDA"/>
              <w:bottom w:val="single" w:sz="18" w:space="0" w:color="00BCDA"/>
            </w:tcBorders>
            <w:vAlign w:val="center"/>
          </w:tcPr>
          <w:p w14:paraId="76517442" w14:textId="25D65C44" w:rsidR="00AD102F" w:rsidRPr="000C65B2" w:rsidRDefault="00337320" w:rsidP="00397A84">
            <w:pPr>
              <w:spacing w:before="60" w:after="60"/>
              <w:rPr>
                <w:rFonts w:cstheme="minorHAnsi"/>
                <w:szCs w:val="20"/>
              </w:rPr>
            </w:pPr>
            <w:r w:rsidRPr="000C65B2">
              <w:rPr>
                <w:rFonts w:cstheme="minorHAnsi"/>
                <w:szCs w:val="20"/>
              </w:rPr>
              <w:t>The number of international students studying at Secondary schools, colleges and University</w:t>
            </w:r>
          </w:p>
        </w:tc>
        <w:tc>
          <w:tcPr>
            <w:tcW w:w="4253" w:type="dxa"/>
            <w:tcBorders>
              <w:top w:val="single" w:sz="18" w:space="0" w:color="00BCDA"/>
              <w:bottom w:val="single" w:sz="18" w:space="0" w:color="00BCDA"/>
            </w:tcBorders>
            <w:vAlign w:val="center"/>
          </w:tcPr>
          <w:p w14:paraId="28C6642F" w14:textId="096C11A3" w:rsidR="00337320" w:rsidRPr="000C65B2" w:rsidRDefault="00337320" w:rsidP="00AC6C9C">
            <w:pPr>
              <w:rPr>
                <w:sz w:val="16"/>
                <w:szCs w:val="16"/>
              </w:rPr>
            </w:pPr>
            <w:r w:rsidRPr="000C65B2">
              <w:rPr>
                <w:sz w:val="16"/>
                <w:szCs w:val="16"/>
              </w:rPr>
              <w:t>Registrar and Admissions Officer, Launceston Church Grammar School, Scotch Oakburn</w:t>
            </w:r>
            <w:r w:rsidR="00397A84" w:rsidRPr="000C65B2">
              <w:rPr>
                <w:sz w:val="16"/>
                <w:szCs w:val="16"/>
              </w:rPr>
              <w:t xml:space="preserve"> College.</w:t>
            </w:r>
          </w:p>
          <w:p w14:paraId="777C387F" w14:textId="77777777" w:rsidR="00337320" w:rsidRPr="000C65B2" w:rsidRDefault="00337320" w:rsidP="00AC6C9C">
            <w:pPr>
              <w:rPr>
                <w:sz w:val="16"/>
                <w:szCs w:val="16"/>
              </w:rPr>
            </w:pPr>
            <w:r w:rsidRPr="000C65B2">
              <w:rPr>
                <w:sz w:val="16"/>
                <w:szCs w:val="16"/>
              </w:rPr>
              <w:t xml:space="preserve">Government Education and Training International, </w:t>
            </w:r>
          </w:p>
          <w:p w14:paraId="00FB6754" w14:textId="5A9330E6" w:rsidR="00337320" w:rsidRPr="000C65B2" w:rsidRDefault="00337320" w:rsidP="00AC6C9C">
            <w:pPr>
              <w:rPr>
                <w:sz w:val="16"/>
                <w:szCs w:val="16"/>
              </w:rPr>
            </w:pPr>
            <w:r w:rsidRPr="000C65B2">
              <w:rPr>
                <w:sz w:val="16"/>
                <w:szCs w:val="16"/>
              </w:rPr>
              <w:t>Tasmanian Government Department of Education Policy,</w:t>
            </w:r>
            <w:r w:rsidR="00397A84" w:rsidRPr="000C65B2">
              <w:rPr>
                <w:sz w:val="16"/>
                <w:szCs w:val="16"/>
              </w:rPr>
              <w:t xml:space="preserve"> Strategy and Performance Unit.</w:t>
            </w:r>
          </w:p>
          <w:p w14:paraId="3BA26A0D" w14:textId="4FC396B6" w:rsidR="00AD102F" w:rsidRPr="000C65B2" w:rsidRDefault="00337320" w:rsidP="00AC6C9C">
            <w:pPr>
              <w:rPr>
                <w:rFonts w:cstheme="minorHAnsi"/>
              </w:rPr>
            </w:pPr>
            <w:r w:rsidRPr="000C65B2">
              <w:rPr>
                <w:sz w:val="16"/>
                <w:szCs w:val="16"/>
              </w:rPr>
              <w:t>Business Intelligence and Institutional Performance Division, University of Tasmania</w:t>
            </w:r>
            <w:r w:rsidR="00397A84" w:rsidRPr="000C65B2">
              <w:rPr>
                <w:sz w:val="16"/>
                <w:szCs w:val="16"/>
              </w:rPr>
              <w:t>.</w:t>
            </w:r>
          </w:p>
        </w:tc>
      </w:tr>
      <w:tr w:rsidR="00AD102F" w:rsidRPr="000C65B2" w14:paraId="22947D3A" w14:textId="77777777" w:rsidTr="00BB41FA">
        <w:trPr>
          <w:trHeight w:val="1304"/>
        </w:trPr>
        <w:tc>
          <w:tcPr>
            <w:tcW w:w="2552" w:type="dxa"/>
            <w:tcBorders>
              <w:top w:val="single" w:sz="18" w:space="0" w:color="00BCDA"/>
              <w:bottom w:val="single" w:sz="4" w:space="0" w:color="D0CECE" w:themeColor="background2" w:themeShade="E6"/>
            </w:tcBorders>
            <w:shd w:val="clear" w:color="auto" w:fill="E7E6E6" w:themeFill="background2"/>
            <w:vAlign w:val="center"/>
          </w:tcPr>
          <w:p w14:paraId="73F06C34" w14:textId="6161E01A" w:rsidR="00AD102F" w:rsidRPr="001436CA" w:rsidRDefault="000F795C" w:rsidP="001436CA">
            <w:pPr>
              <w:spacing w:before="60" w:after="60"/>
              <w:jc w:val="center"/>
              <w:rPr>
                <w:rFonts w:cstheme="minorHAnsi"/>
                <w:color w:val="00BCDA"/>
                <w:sz w:val="24"/>
                <w:szCs w:val="20"/>
              </w:rPr>
            </w:pPr>
            <w:r w:rsidRPr="001436CA">
              <w:rPr>
                <w:rFonts w:cstheme="minorHAnsi"/>
                <w:color w:val="00BCDA"/>
                <w:sz w:val="24"/>
                <w:szCs w:val="20"/>
              </w:rPr>
              <w:t>Highest qualification</w:t>
            </w:r>
          </w:p>
        </w:tc>
        <w:tc>
          <w:tcPr>
            <w:tcW w:w="3685" w:type="dxa"/>
            <w:tcBorders>
              <w:top w:val="single" w:sz="18" w:space="0" w:color="00BCDA"/>
              <w:bottom w:val="single" w:sz="4" w:space="0" w:color="D0CECE" w:themeColor="background2" w:themeShade="E6"/>
            </w:tcBorders>
            <w:vAlign w:val="center"/>
          </w:tcPr>
          <w:p w14:paraId="69DDC099" w14:textId="2EAEB3AA" w:rsidR="00AD102F" w:rsidRPr="000C65B2" w:rsidRDefault="00337320" w:rsidP="00397A84">
            <w:pPr>
              <w:spacing w:before="60" w:after="60"/>
              <w:rPr>
                <w:rFonts w:cstheme="minorHAnsi"/>
                <w:szCs w:val="20"/>
              </w:rPr>
            </w:pPr>
            <w:r w:rsidRPr="000C65B2">
              <w:rPr>
                <w:rFonts w:cstheme="minorHAnsi"/>
                <w:szCs w:val="20"/>
              </w:rPr>
              <w:t>The highest qualifications of persons over 15 years of age in the region</w:t>
            </w:r>
          </w:p>
        </w:tc>
        <w:tc>
          <w:tcPr>
            <w:tcW w:w="4253" w:type="dxa"/>
            <w:tcBorders>
              <w:top w:val="single" w:sz="18" w:space="0" w:color="00BCDA"/>
              <w:bottom w:val="single" w:sz="4" w:space="0" w:color="D0CECE" w:themeColor="background2" w:themeShade="E6"/>
            </w:tcBorders>
            <w:vAlign w:val="center"/>
          </w:tcPr>
          <w:p w14:paraId="69740298" w14:textId="1F95FCBA" w:rsidR="00AD102F" w:rsidRPr="000C65B2" w:rsidRDefault="000F795C" w:rsidP="00AC6C9C">
            <w:pPr>
              <w:rPr>
                <w:rFonts w:cstheme="minorHAnsi"/>
              </w:rPr>
            </w:pPr>
            <w:r w:rsidRPr="000C65B2">
              <w:rPr>
                <w:rFonts w:eastAsia="Times New Roman" w:cstheme="minorHAnsi"/>
                <w:sz w:val="16"/>
                <w:szCs w:val="16"/>
                <w:lang w:eastAsia="en-AU"/>
              </w:rPr>
              <w:t>ABS</w:t>
            </w:r>
            <w:r w:rsidR="00337320" w:rsidRPr="000C65B2">
              <w:rPr>
                <w:rFonts w:eastAsia="Times New Roman" w:cstheme="minorHAnsi"/>
                <w:sz w:val="16"/>
                <w:szCs w:val="16"/>
                <w:lang w:eastAsia="en-AU"/>
              </w:rPr>
              <w:t xml:space="preserve">  2016 Census of Population and Housing, Launceston and North East (602)</w:t>
            </w:r>
            <w:r w:rsidR="00947375" w:rsidRPr="000C65B2">
              <w:rPr>
                <w:rFonts w:eastAsia="Times New Roman" w:cstheme="minorHAnsi"/>
                <w:sz w:val="16"/>
                <w:szCs w:val="16"/>
                <w:lang w:eastAsia="en-AU"/>
              </w:rPr>
              <w:t xml:space="preserve"> and Tasmania (6)</w:t>
            </w:r>
            <w:r w:rsidR="00337320" w:rsidRPr="000C65B2">
              <w:rPr>
                <w:rFonts w:eastAsia="Times New Roman" w:cstheme="minorHAnsi"/>
                <w:sz w:val="16"/>
                <w:szCs w:val="16"/>
                <w:lang w:eastAsia="en-AU"/>
              </w:rPr>
              <w:t>, Catalogue 2003.0, T31 Non-School Qualification: Level of Education by Age by Sex, Count of persons aged 15 years and over with a qualification(a)</w:t>
            </w:r>
          </w:p>
        </w:tc>
      </w:tr>
    </w:tbl>
    <w:p w14:paraId="3594E526" w14:textId="1909134D" w:rsidR="00463E46" w:rsidRPr="000C65B2" w:rsidRDefault="00D6753A" w:rsidP="000A5B6A">
      <w:pPr>
        <w:pStyle w:val="Heading2"/>
      </w:pPr>
      <w:r>
        <w:rPr>
          <w:noProof/>
          <w:lang w:eastAsia="en-AU"/>
        </w:rPr>
        <w:drawing>
          <wp:anchor distT="0" distB="0" distL="114300" distR="114300" simplePos="0" relativeHeight="251658240" behindDoc="1" locked="0" layoutInCell="1" allowOverlap="1" wp14:anchorId="134104C1" wp14:editId="49AD5E75">
            <wp:simplePos x="0" y="0"/>
            <wp:positionH relativeFrom="column">
              <wp:posOffset>1319842</wp:posOffset>
            </wp:positionH>
            <wp:positionV relativeFrom="paragraph">
              <wp:posOffset>108037</wp:posOffset>
            </wp:positionV>
            <wp:extent cx="1201941" cy="381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ern Tasmania Graphics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1941" cy="381536"/>
                    </a:xfrm>
                    <a:prstGeom prst="rect">
                      <a:avLst/>
                    </a:prstGeom>
                  </pic:spPr>
                </pic:pic>
              </a:graphicData>
            </a:graphic>
            <wp14:sizeRelH relativeFrom="page">
              <wp14:pctWidth>0</wp14:pctWidth>
            </wp14:sizeRelH>
            <wp14:sizeRelV relativeFrom="page">
              <wp14:pctHeight>0</wp14:pctHeight>
            </wp14:sizeRelV>
          </wp:anchor>
        </w:drawing>
      </w:r>
      <w:r w:rsidR="00810359" w:rsidRPr="000C65B2">
        <w:t>Employment</w:t>
      </w:r>
    </w:p>
    <w:tbl>
      <w:tblPr>
        <w:tblStyle w:val="TableGrid"/>
        <w:tblW w:w="10490" w:type="dxa"/>
        <w:tblBorders>
          <w:top w:val="none" w:sz="0" w:space="0" w:color="auto"/>
          <w:left w:val="none" w:sz="0" w:space="0" w:color="auto"/>
          <w:bottom w:val="none" w:sz="0" w:space="0" w:color="auto"/>
          <w:right w:val="none" w:sz="0" w:space="0" w:color="auto"/>
          <w:insideH w:val="single" w:sz="4" w:space="0" w:color="D0CECE" w:themeColor="background2" w:themeShade="E6"/>
          <w:insideV w:val="none" w:sz="0" w:space="0" w:color="auto"/>
        </w:tblBorders>
        <w:tblLook w:val="04A0" w:firstRow="1" w:lastRow="0" w:firstColumn="1" w:lastColumn="0" w:noHBand="0" w:noVBand="1"/>
      </w:tblPr>
      <w:tblGrid>
        <w:gridCol w:w="2552"/>
        <w:gridCol w:w="3685"/>
        <w:gridCol w:w="4253"/>
      </w:tblGrid>
      <w:tr w:rsidR="000B2CC1" w:rsidRPr="000C65B2" w14:paraId="532811B6" w14:textId="77777777" w:rsidTr="00BB41FA">
        <w:trPr>
          <w:trHeight w:val="1077"/>
        </w:trPr>
        <w:tc>
          <w:tcPr>
            <w:tcW w:w="2552" w:type="dxa"/>
            <w:tcBorders>
              <w:bottom w:val="single" w:sz="18" w:space="0" w:color="00BCDA"/>
            </w:tcBorders>
            <w:shd w:val="clear" w:color="auto" w:fill="E7E6E6" w:themeFill="background2"/>
            <w:vAlign w:val="center"/>
          </w:tcPr>
          <w:p w14:paraId="14DE3C36" w14:textId="433C5127" w:rsidR="000B2CC1" w:rsidRPr="001436CA" w:rsidRDefault="000B2CC1" w:rsidP="001436CA">
            <w:pPr>
              <w:spacing w:before="60" w:after="60"/>
              <w:jc w:val="center"/>
              <w:rPr>
                <w:rFonts w:cstheme="minorHAnsi"/>
                <w:color w:val="00BCDA"/>
                <w:sz w:val="24"/>
                <w:szCs w:val="20"/>
              </w:rPr>
            </w:pPr>
            <w:r w:rsidRPr="001436CA">
              <w:rPr>
                <w:rFonts w:cstheme="minorHAnsi"/>
                <w:color w:val="00BCDA"/>
                <w:sz w:val="24"/>
                <w:szCs w:val="20"/>
              </w:rPr>
              <w:t>Labour force status</w:t>
            </w:r>
          </w:p>
        </w:tc>
        <w:tc>
          <w:tcPr>
            <w:tcW w:w="3685" w:type="dxa"/>
            <w:tcBorders>
              <w:bottom w:val="single" w:sz="18" w:space="0" w:color="00BCDA"/>
            </w:tcBorders>
            <w:vAlign w:val="center"/>
          </w:tcPr>
          <w:p w14:paraId="2CB8A99A" w14:textId="52A05269" w:rsidR="000B2CC1" w:rsidRPr="000C65B2" w:rsidRDefault="00103AC2" w:rsidP="00397A84">
            <w:pPr>
              <w:spacing w:before="60" w:after="60"/>
              <w:rPr>
                <w:rFonts w:cstheme="minorHAnsi"/>
                <w:szCs w:val="20"/>
              </w:rPr>
            </w:pPr>
            <w:r w:rsidRPr="000C65B2">
              <w:rPr>
                <w:rFonts w:cstheme="minorHAnsi"/>
                <w:szCs w:val="20"/>
              </w:rPr>
              <w:t>The labour force characteristics of the region.</w:t>
            </w:r>
          </w:p>
        </w:tc>
        <w:tc>
          <w:tcPr>
            <w:tcW w:w="4253" w:type="dxa"/>
            <w:tcBorders>
              <w:bottom w:val="single" w:sz="18" w:space="0" w:color="00BCDA"/>
            </w:tcBorders>
            <w:vAlign w:val="center"/>
          </w:tcPr>
          <w:p w14:paraId="434F4572" w14:textId="0955FE90" w:rsidR="000B2CC1" w:rsidRPr="000C65B2" w:rsidRDefault="000F795C" w:rsidP="00103AC2">
            <w:pPr>
              <w:rPr>
                <w:rFonts w:cstheme="minorHAnsi"/>
              </w:rPr>
            </w:pPr>
            <w:r w:rsidRPr="000C65B2">
              <w:rPr>
                <w:rFonts w:eastAsia="Times New Roman" w:cstheme="minorHAnsi"/>
                <w:sz w:val="16"/>
                <w:szCs w:val="16"/>
                <w:lang w:eastAsia="en-AU"/>
              </w:rPr>
              <w:t>ABS</w:t>
            </w:r>
            <w:r w:rsidR="000B2CC1" w:rsidRPr="000C65B2">
              <w:rPr>
                <w:rFonts w:eastAsia="Times New Roman" w:cstheme="minorHAnsi"/>
                <w:sz w:val="16"/>
                <w:szCs w:val="16"/>
                <w:lang w:eastAsia="en-AU"/>
              </w:rPr>
              <w:t xml:space="preserve"> </w:t>
            </w:r>
            <w:r w:rsidR="00C96BD7" w:rsidRPr="000C65B2">
              <w:rPr>
                <w:rFonts w:eastAsia="Times New Roman" w:cstheme="minorHAnsi"/>
                <w:i/>
                <w:sz w:val="16"/>
                <w:szCs w:val="16"/>
                <w:lang w:eastAsia="en-AU"/>
              </w:rPr>
              <w:t>6291.0.55.001 Labour Force, Australia, Detailed - Electronic Delivery, Table 16. Labour force status by Labour market region (ASGS) and Sex</w:t>
            </w:r>
          </w:p>
        </w:tc>
      </w:tr>
      <w:tr w:rsidR="000B2CC1" w:rsidRPr="000C65B2" w14:paraId="7CEC733A" w14:textId="77777777" w:rsidTr="00BB41FA">
        <w:trPr>
          <w:trHeight w:val="1077"/>
        </w:trPr>
        <w:tc>
          <w:tcPr>
            <w:tcW w:w="2552" w:type="dxa"/>
            <w:tcBorders>
              <w:top w:val="single" w:sz="18" w:space="0" w:color="00BCDA"/>
              <w:bottom w:val="single" w:sz="18" w:space="0" w:color="00BCDA"/>
            </w:tcBorders>
            <w:shd w:val="clear" w:color="auto" w:fill="E7E6E6" w:themeFill="background2"/>
            <w:vAlign w:val="center"/>
          </w:tcPr>
          <w:p w14:paraId="2C27BCCC" w14:textId="77777777" w:rsidR="000B2CC1" w:rsidRPr="001436CA" w:rsidRDefault="000B2CC1" w:rsidP="001436CA">
            <w:pPr>
              <w:spacing w:before="60" w:after="60"/>
              <w:jc w:val="center"/>
              <w:rPr>
                <w:rFonts w:cstheme="minorHAnsi"/>
                <w:color w:val="00BCDA"/>
                <w:sz w:val="24"/>
                <w:szCs w:val="20"/>
              </w:rPr>
            </w:pPr>
            <w:r w:rsidRPr="001436CA">
              <w:rPr>
                <w:rFonts w:cstheme="minorHAnsi"/>
                <w:color w:val="00BCDA"/>
                <w:sz w:val="24"/>
                <w:szCs w:val="20"/>
              </w:rPr>
              <w:t>Unemployment rate</w:t>
            </w:r>
          </w:p>
        </w:tc>
        <w:tc>
          <w:tcPr>
            <w:tcW w:w="3685" w:type="dxa"/>
            <w:tcBorders>
              <w:top w:val="single" w:sz="18" w:space="0" w:color="00BCDA"/>
              <w:bottom w:val="single" w:sz="18" w:space="0" w:color="00BCDA"/>
            </w:tcBorders>
            <w:vAlign w:val="center"/>
          </w:tcPr>
          <w:p w14:paraId="63CCE752" w14:textId="7ABC10FC" w:rsidR="000B2CC1" w:rsidRPr="000C65B2" w:rsidRDefault="00103AC2" w:rsidP="00397A84">
            <w:pPr>
              <w:spacing w:before="60" w:after="60"/>
              <w:rPr>
                <w:rFonts w:cstheme="minorHAnsi"/>
                <w:szCs w:val="20"/>
              </w:rPr>
            </w:pPr>
            <w:r w:rsidRPr="000C65B2">
              <w:rPr>
                <w:rFonts w:cstheme="minorHAnsi"/>
                <w:szCs w:val="20"/>
              </w:rPr>
              <w:t>The number of unemployed persons as a percentage of the labour force being employed and unemployed persons who are actively looking for work.</w:t>
            </w:r>
          </w:p>
        </w:tc>
        <w:tc>
          <w:tcPr>
            <w:tcW w:w="4253" w:type="dxa"/>
            <w:tcBorders>
              <w:top w:val="single" w:sz="18" w:space="0" w:color="00BCDA"/>
              <w:bottom w:val="single" w:sz="18" w:space="0" w:color="00BCDA"/>
            </w:tcBorders>
            <w:vAlign w:val="center"/>
          </w:tcPr>
          <w:p w14:paraId="2BF54F35" w14:textId="3915832C" w:rsidR="000B2CC1" w:rsidRPr="000C65B2" w:rsidRDefault="00C96BD7" w:rsidP="00103AC2">
            <w:pPr>
              <w:rPr>
                <w:rFonts w:cstheme="minorHAnsi"/>
              </w:rPr>
            </w:pPr>
            <w:r w:rsidRPr="000C65B2">
              <w:rPr>
                <w:rFonts w:eastAsia="Times New Roman" w:cstheme="minorHAnsi"/>
                <w:i/>
                <w:sz w:val="16"/>
                <w:szCs w:val="16"/>
                <w:lang w:eastAsia="en-AU"/>
              </w:rPr>
              <w:t>ABS 6291.0.55.001 Labour Force, Australia, Detailed - Electronic Delivery, Table 16. Labour force status by Labour market region (ASGS) and Sex</w:t>
            </w:r>
          </w:p>
        </w:tc>
      </w:tr>
      <w:tr w:rsidR="000B2CC1" w:rsidRPr="000C65B2" w14:paraId="38DFE48A" w14:textId="77777777" w:rsidTr="00BB41FA">
        <w:trPr>
          <w:trHeight w:val="1077"/>
        </w:trPr>
        <w:tc>
          <w:tcPr>
            <w:tcW w:w="2552" w:type="dxa"/>
            <w:tcBorders>
              <w:top w:val="single" w:sz="18" w:space="0" w:color="00BCDA"/>
              <w:bottom w:val="single" w:sz="18" w:space="0" w:color="00BCDA"/>
            </w:tcBorders>
            <w:shd w:val="clear" w:color="auto" w:fill="E7E6E6" w:themeFill="background2"/>
            <w:vAlign w:val="center"/>
          </w:tcPr>
          <w:p w14:paraId="160D6325" w14:textId="77777777" w:rsidR="000B2CC1" w:rsidRPr="001436CA" w:rsidRDefault="000B2CC1" w:rsidP="001436CA">
            <w:pPr>
              <w:spacing w:before="60" w:after="60"/>
              <w:jc w:val="center"/>
              <w:rPr>
                <w:rFonts w:cstheme="minorHAnsi"/>
                <w:color w:val="00BCDA"/>
                <w:sz w:val="24"/>
                <w:szCs w:val="20"/>
              </w:rPr>
            </w:pPr>
            <w:r w:rsidRPr="001436CA">
              <w:rPr>
                <w:rFonts w:cstheme="minorHAnsi"/>
                <w:color w:val="00BCDA"/>
                <w:sz w:val="24"/>
                <w:szCs w:val="20"/>
              </w:rPr>
              <w:t>Youth unemployment rate</w:t>
            </w:r>
          </w:p>
        </w:tc>
        <w:tc>
          <w:tcPr>
            <w:tcW w:w="3685" w:type="dxa"/>
            <w:tcBorders>
              <w:top w:val="single" w:sz="18" w:space="0" w:color="00BCDA"/>
              <w:bottom w:val="single" w:sz="18" w:space="0" w:color="00BCDA"/>
            </w:tcBorders>
            <w:vAlign w:val="center"/>
          </w:tcPr>
          <w:p w14:paraId="2DB65C31" w14:textId="0D290BF3" w:rsidR="000B2CC1" w:rsidRPr="000C65B2" w:rsidRDefault="00D6031B" w:rsidP="00397A84">
            <w:pPr>
              <w:tabs>
                <w:tab w:val="left" w:pos="4616"/>
              </w:tabs>
              <w:spacing w:before="60" w:after="60"/>
              <w:rPr>
                <w:rFonts w:cstheme="minorHAnsi"/>
                <w:szCs w:val="20"/>
              </w:rPr>
            </w:pPr>
            <w:r w:rsidRPr="000C65B2">
              <w:rPr>
                <w:rFonts w:cstheme="minorHAnsi"/>
                <w:szCs w:val="20"/>
              </w:rPr>
              <w:t>T</w:t>
            </w:r>
            <w:r w:rsidR="00103AC2" w:rsidRPr="000C65B2">
              <w:rPr>
                <w:rFonts w:cstheme="minorHAnsi"/>
                <w:szCs w:val="20"/>
              </w:rPr>
              <w:t xml:space="preserve">he number of unemployed persons </w:t>
            </w:r>
            <w:r w:rsidR="00397A84" w:rsidRPr="000C65B2">
              <w:rPr>
                <w:rFonts w:cstheme="minorHAnsi"/>
                <w:szCs w:val="20"/>
              </w:rPr>
              <w:t xml:space="preserve">aged between 15 and 24 years </w:t>
            </w:r>
            <w:r w:rsidR="00103AC2" w:rsidRPr="000C65B2">
              <w:rPr>
                <w:rFonts w:cstheme="minorHAnsi"/>
                <w:szCs w:val="20"/>
              </w:rPr>
              <w:t>as a percentage of the labour force being employed and unemployed persons who are actively looking for work.</w:t>
            </w:r>
          </w:p>
        </w:tc>
        <w:tc>
          <w:tcPr>
            <w:tcW w:w="4253" w:type="dxa"/>
            <w:tcBorders>
              <w:top w:val="single" w:sz="18" w:space="0" w:color="00BCDA"/>
              <w:bottom w:val="single" w:sz="18" w:space="0" w:color="00BCDA"/>
            </w:tcBorders>
            <w:vAlign w:val="center"/>
          </w:tcPr>
          <w:p w14:paraId="1AA14BA6" w14:textId="0F57E864" w:rsidR="000B2CC1" w:rsidRPr="000C65B2" w:rsidRDefault="00C96BD7" w:rsidP="00C96BD7">
            <w:pPr>
              <w:tabs>
                <w:tab w:val="left" w:pos="4616"/>
              </w:tabs>
              <w:rPr>
                <w:rFonts w:eastAsia="Times New Roman" w:cstheme="minorHAnsi"/>
                <w:i/>
                <w:sz w:val="16"/>
                <w:szCs w:val="16"/>
                <w:lang w:eastAsia="en-AU"/>
              </w:rPr>
            </w:pPr>
            <w:r w:rsidRPr="000C65B2">
              <w:rPr>
                <w:rFonts w:eastAsia="Times New Roman" w:cstheme="minorHAnsi"/>
                <w:i/>
                <w:sz w:val="16"/>
                <w:szCs w:val="16"/>
                <w:lang w:eastAsia="en-AU"/>
              </w:rPr>
              <w:t xml:space="preserve">ABS 6291.0.55.001 - RM1 - Labour force status by Age, Labour market region (ASGS) and Sex, October 1998 onwards; </w:t>
            </w:r>
            <w:r w:rsidR="00947375" w:rsidRPr="000C65B2">
              <w:rPr>
                <w:rFonts w:eastAsia="Times New Roman" w:cstheme="minorHAnsi"/>
                <w:i/>
                <w:sz w:val="16"/>
                <w:szCs w:val="16"/>
                <w:lang w:eastAsia="en-AU"/>
              </w:rPr>
              <w:t>Table 1</w:t>
            </w:r>
            <w:r w:rsidRPr="000C65B2">
              <w:rPr>
                <w:rFonts w:eastAsia="Times New Roman" w:cstheme="minorHAnsi"/>
                <w:i/>
                <w:sz w:val="16"/>
                <w:szCs w:val="16"/>
                <w:lang w:eastAsia="en-AU"/>
              </w:rPr>
              <w:t xml:space="preserve">: RM1 - Labour force status by Age, Labour market region (ASGS) and Sex, October 1998 onwards </w:t>
            </w:r>
          </w:p>
        </w:tc>
      </w:tr>
      <w:tr w:rsidR="000B2CC1" w:rsidRPr="000C65B2" w14:paraId="77B6D98F" w14:textId="77777777" w:rsidTr="00BB41FA">
        <w:trPr>
          <w:trHeight w:val="1077"/>
        </w:trPr>
        <w:tc>
          <w:tcPr>
            <w:tcW w:w="2552" w:type="dxa"/>
            <w:tcBorders>
              <w:top w:val="single" w:sz="18" w:space="0" w:color="00BCDA"/>
              <w:bottom w:val="single" w:sz="18" w:space="0" w:color="00BCDA"/>
            </w:tcBorders>
            <w:shd w:val="clear" w:color="auto" w:fill="E7E6E6" w:themeFill="background2"/>
            <w:vAlign w:val="center"/>
          </w:tcPr>
          <w:p w14:paraId="004F55AF" w14:textId="77777777" w:rsidR="000B2CC1" w:rsidRPr="001436CA" w:rsidRDefault="000B2CC1" w:rsidP="001436CA">
            <w:pPr>
              <w:spacing w:before="60" w:after="60"/>
              <w:jc w:val="center"/>
              <w:rPr>
                <w:rFonts w:cstheme="minorHAnsi"/>
                <w:color w:val="00BCDA"/>
                <w:sz w:val="24"/>
                <w:szCs w:val="20"/>
              </w:rPr>
            </w:pPr>
            <w:r w:rsidRPr="001436CA">
              <w:rPr>
                <w:rFonts w:cstheme="minorHAnsi"/>
                <w:color w:val="00BCDA"/>
                <w:sz w:val="24"/>
                <w:szCs w:val="20"/>
              </w:rPr>
              <w:t>Participation rate</w:t>
            </w:r>
          </w:p>
        </w:tc>
        <w:tc>
          <w:tcPr>
            <w:tcW w:w="3685" w:type="dxa"/>
            <w:tcBorders>
              <w:top w:val="single" w:sz="18" w:space="0" w:color="00BCDA"/>
              <w:bottom w:val="single" w:sz="18" w:space="0" w:color="00BCDA"/>
            </w:tcBorders>
            <w:vAlign w:val="center"/>
          </w:tcPr>
          <w:p w14:paraId="17C7D1B0" w14:textId="2A7D4688" w:rsidR="000B2CC1" w:rsidRPr="000C65B2" w:rsidRDefault="00103AC2" w:rsidP="00397A84">
            <w:pPr>
              <w:tabs>
                <w:tab w:val="left" w:pos="4616"/>
              </w:tabs>
              <w:spacing w:before="60" w:after="60"/>
              <w:rPr>
                <w:rFonts w:cstheme="minorHAnsi"/>
                <w:szCs w:val="20"/>
              </w:rPr>
            </w:pPr>
            <w:r w:rsidRPr="000C65B2">
              <w:rPr>
                <w:rFonts w:cstheme="minorHAnsi"/>
                <w:szCs w:val="20"/>
              </w:rPr>
              <w:t xml:space="preserve">The percentage of the total working age population </w:t>
            </w:r>
            <w:r w:rsidR="00397A84" w:rsidRPr="000C65B2">
              <w:rPr>
                <w:rFonts w:cstheme="minorHAnsi"/>
                <w:szCs w:val="20"/>
              </w:rPr>
              <w:t>(</w:t>
            </w:r>
            <w:r w:rsidRPr="000C65B2">
              <w:rPr>
                <w:rFonts w:cstheme="minorHAnsi"/>
                <w:szCs w:val="20"/>
              </w:rPr>
              <w:t>persons aged between 15 and 64 years</w:t>
            </w:r>
            <w:r w:rsidR="00397A84" w:rsidRPr="000C65B2">
              <w:rPr>
                <w:rFonts w:cstheme="minorHAnsi"/>
                <w:szCs w:val="20"/>
              </w:rPr>
              <w:t>)</w:t>
            </w:r>
            <w:r w:rsidRPr="000C65B2">
              <w:rPr>
                <w:rFonts w:cstheme="minorHAnsi"/>
                <w:szCs w:val="20"/>
              </w:rPr>
              <w:t xml:space="preserve"> that are part of the labour force (employed and unemployed persons who are actively looking for work).</w:t>
            </w:r>
          </w:p>
        </w:tc>
        <w:tc>
          <w:tcPr>
            <w:tcW w:w="4253" w:type="dxa"/>
            <w:tcBorders>
              <w:top w:val="single" w:sz="18" w:space="0" w:color="00BCDA"/>
              <w:bottom w:val="single" w:sz="18" w:space="0" w:color="00BCDA"/>
            </w:tcBorders>
            <w:vAlign w:val="center"/>
          </w:tcPr>
          <w:p w14:paraId="7E96BBFD" w14:textId="21D253F2" w:rsidR="000B2CC1" w:rsidRPr="000C65B2" w:rsidRDefault="00C96BD7" w:rsidP="00103AC2">
            <w:pPr>
              <w:rPr>
                <w:rFonts w:cstheme="minorHAnsi"/>
              </w:rPr>
            </w:pPr>
            <w:r w:rsidRPr="000C65B2">
              <w:rPr>
                <w:rFonts w:eastAsia="Times New Roman" w:cstheme="minorHAnsi"/>
                <w:i/>
                <w:sz w:val="16"/>
                <w:szCs w:val="16"/>
                <w:lang w:eastAsia="en-AU"/>
              </w:rPr>
              <w:t>ABS 6291.0.55.001 Labour Force, Australia, Detailed - Electronic Delivery, Table 16. Labour force status by Labour market region (ASGS) and Sex</w:t>
            </w:r>
          </w:p>
        </w:tc>
      </w:tr>
      <w:tr w:rsidR="000B2CC1" w:rsidRPr="000C65B2" w14:paraId="535C9551" w14:textId="77777777" w:rsidTr="00BB41FA">
        <w:trPr>
          <w:trHeight w:val="1077"/>
        </w:trPr>
        <w:tc>
          <w:tcPr>
            <w:tcW w:w="2552" w:type="dxa"/>
            <w:tcBorders>
              <w:top w:val="single" w:sz="18" w:space="0" w:color="00BCDA"/>
              <w:bottom w:val="single" w:sz="4" w:space="0" w:color="D0CECE" w:themeColor="background2" w:themeShade="E6"/>
            </w:tcBorders>
            <w:shd w:val="clear" w:color="auto" w:fill="E7E6E6" w:themeFill="background2"/>
            <w:vAlign w:val="center"/>
          </w:tcPr>
          <w:p w14:paraId="6AAA279C" w14:textId="77777777" w:rsidR="000B2CC1" w:rsidRPr="001436CA" w:rsidRDefault="000B2CC1" w:rsidP="001436CA">
            <w:pPr>
              <w:spacing w:before="60" w:after="60"/>
              <w:jc w:val="center"/>
              <w:rPr>
                <w:rFonts w:cstheme="minorHAnsi"/>
                <w:color w:val="00BCDA"/>
                <w:sz w:val="24"/>
                <w:szCs w:val="20"/>
              </w:rPr>
            </w:pPr>
            <w:r w:rsidRPr="001436CA">
              <w:rPr>
                <w:rFonts w:cstheme="minorHAnsi"/>
                <w:color w:val="00BCDA"/>
                <w:sz w:val="24"/>
                <w:szCs w:val="20"/>
              </w:rPr>
              <w:t>Employment by industry</w:t>
            </w:r>
          </w:p>
        </w:tc>
        <w:tc>
          <w:tcPr>
            <w:tcW w:w="3685" w:type="dxa"/>
            <w:tcBorders>
              <w:top w:val="single" w:sz="18" w:space="0" w:color="00BCDA"/>
              <w:bottom w:val="single" w:sz="4" w:space="0" w:color="D0CECE" w:themeColor="background2" w:themeShade="E6"/>
            </w:tcBorders>
            <w:vAlign w:val="center"/>
          </w:tcPr>
          <w:p w14:paraId="1515B979" w14:textId="04A76989" w:rsidR="000B2CC1" w:rsidRPr="000C65B2" w:rsidRDefault="00103AC2" w:rsidP="00397A84">
            <w:pPr>
              <w:spacing w:before="60" w:after="60"/>
              <w:rPr>
                <w:rFonts w:cstheme="minorHAnsi"/>
                <w:szCs w:val="20"/>
              </w:rPr>
            </w:pPr>
            <w:r w:rsidRPr="000C65B2">
              <w:rPr>
                <w:rFonts w:cstheme="minorHAnsi"/>
                <w:szCs w:val="20"/>
              </w:rPr>
              <w:t xml:space="preserve">The number of persons employed within different industries </w:t>
            </w:r>
          </w:p>
        </w:tc>
        <w:tc>
          <w:tcPr>
            <w:tcW w:w="4253" w:type="dxa"/>
            <w:tcBorders>
              <w:top w:val="single" w:sz="18" w:space="0" w:color="00BCDA"/>
              <w:bottom w:val="single" w:sz="4" w:space="0" w:color="D0CECE" w:themeColor="background2" w:themeShade="E6"/>
            </w:tcBorders>
            <w:vAlign w:val="center"/>
          </w:tcPr>
          <w:p w14:paraId="1CBE80B6" w14:textId="44B024B4" w:rsidR="000B2CC1" w:rsidRPr="000C65B2" w:rsidRDefault="000F795C" w:rsidP="00103AC2">
            <w:pPr>
              <w:rPr>
                <w:rFonts w:cstheme="minorHAnsi"/>
              </w:rPr>
            </w:pPr>
            <w:r w:rsidRPr="000C65B2">
              <w:rPr>
                <w:rFonts w:eastAsia="Times New Roman" w:cstheme="minorHAnsi"/>
                <w:sz w:val="16"/>
                <w:szCs w:val="16"/>
                <w:lang w:eastAsia="en-AU"/>
              </w:rPr>
              <w:t>ABS</w:t>
            </w:r>
            <w:r w:rsidR="00103AC2" w:rsidRPr="000C65B2">
              <w:rPr>
                <w:rFonts w:eastAsia="Times New Roman" w:cstheme="minorHAnsi"/>
                <w:sz w:val="16"/>
                <w:szCs w:val="16"/>
                <w:lang w:eastAsia="en-AU"/>
              </w:rPr>
              <w:t xml:space="preserve">  2016 Census of Population and Housing, Launceston and North East (602), Catalogue 2003.0, T34 Industry of Employment(A) by Sex, Count of persons aged 15 years and over</w:t>
            </w:r>
          </w:p>
        </w:tc>
      </w:tr>
    </w:tbl>
    <w:p w14:paraId="13F4C575" w14:textId="77777777" w:rsidR="00D6031B" w:rsidRPr="000C65B2" w:rsidRDefault="00D6031B" w:rsidP="008F76D9">
      <w:pPr>
        <w:spacing w:after="0" w:line="240" w:lineRule="auto"/>
        <w:rPr>
          <w:rFonts w:cstheme="minorHAnsi"/>
        </w:rPr>
      </w:pPr>
    </w:p>
    <w:p w14:paraId="21D91E0B" w14:textId="20493B7D" w:rsidR="00463E46" w:rsidRPr="000C65B2" w:rsidRDefault="004360C4" w:rsidP="000A5B6A">
      <w:pPr>
        <w:pStyle w:val="Heading1"/>
      </w:pPr>
      <w:r>
        <w:rPr>
          <w:noProof/>
          <w:lang w:eastAsia="en-AU"/>
        </w:rPr>
        <w:lastRenderedPageBreak/>
        <w:drawing>
          <wp:anchor distT="0" distB="0" distL="114300" distR="114300" simplePos="0" relativeHeight="251660288" behindDoc="1" locked="0" layoutInCell="1" allowOverlap="1" wp14:anchorId="13BAA341" wp14:editId="1B0D90AA">
            <wp:simplePos x="0" y="0"/>
            <wp:positionH relativeFrom="column">
              <wp:posOffset>1630045</wp:posOffset>
            </wp:positionH>
            <wp:positionV relativeFrom="paragraph">
              <wp:posOffset>-333267</wp:posOffset>
            </wp:positionV>
            <wp:extent cx="2087593" cy="8287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rthern Tasmania Graphics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7593" cy="828725"/>
                    </a:xfrm>
                    <a:prstGeom prst="rect">
                      <a:avLst/>
                    </a:prstGeom>
                  </pic:spPr>
                </pic:pic>
              </a:graphicData>
            </a:graphic>
            <wp14:sizeRelH relativeFrom="page">
              <wp14:pctWidth>0</wp14:pctWidth>
            </wp14:sizeRelH>
            <wp14:sizeRelV relativeFrom="page">
              <wp14:pctHeight>0</wp14:pctHeight>
            </wp14:sizeRelV>
          </wp:anchor>
        </w:drawing>
      </w:r>
      <w:r w:rsidR="008F76D9" w:rsidRPr="000C65B2">
        <w:t>Productivity</w:t>
      </w:r>
    </w:p>
    <w:tbl>
      <w:tblPr>
        <w:tblStyle w:val="TableGrid"/>
        <w:tblW w:w="0" w:type="auto"/>
        <w:tblBorders>
          <w:top w:val="none" w:sz="0" w:space="0" w:color="auto"/>
          <w:left w:val="none" w:sz="0" w:space="0" w:color="auto"/>
          <w:bottom w:val="none" w:sz="0" w:space="0" w:color="auto"/>
          <w:right w:val="none" w:sz="0" w:space="0" w:color="auto"/>
          <w:insideH w:val="single" w:sz="4" w:space="0" w:color="D0CECE" w:themeColor="background2" w:themeShade="E6"/>
          <w:insideV w:val="none" w:sz="0" w:space="0" w:color="auto"/>
        </w:tblBorders>
        <w:tblLook w:val="04A0" w:firstRow="1" w:lastRow="0" w:firstColumn="1" w:lastColumn="0" w:noHBand="0" w:noVBand="1"/>
      </w:tblPr>
      <w:tblGrid>
        <w:gridCol w:w="2552"/>
        <w:gridCol w:w="3685"/>
        <w:gridCol w:w="4172"/>
      </w:tblGrid>
      <w:tr w:rsidR="00103AC2" w:rsidRPr="000C65B2" w14:paraId="37370252" w14:textId="77777777" w:rsidTr="00C913EB">
        <w:trPr>
          <w:trHeight w:val="1191"/>
        </w:trPr>
        <w:tc>
          <w:tcPr>
            <w:tcW w:w="2552" w:type="dxa"/>
            <w:tcBorders>
              <w:bottom w:val="single" w:sz="18" w:space="0" w:color="00BCDA"/>
            </w:tcBorders>
            <w:shd w:val="clear" w:color="auto" w:fill="E7E6E6" w:themeFill="background2"/>
            <w:vAlign w:val="center"/>
          </w:tcPr>
          <w:p w14:paraId="216248C4"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Gross Regional Product</w:t>
            </w:r>
          </w:p>
        </w:tc>
        <w:tc>
          <w:tcPr>
            <w:tcW w:w="3685" w:type="dxa"/>
            <w:tcBorders>
              <w:bottom w:val="single" w:sz="18" w:space="0" w:color="00BCDA"/>
            </w:tcBorders>
            <w:vAlign w:val="center"/>
          </w:tcPr>
          <w:p w14:paraId="21959E93" w14:textId="282004DE" w:rsidR="00103AC2" w:rsidRPr="000C65B2" w:rsidRDefault="00103AC2" w:rsidP="00397A84">
            <w:pPr>
              <w:spacing w:before="60" w:after="60"/>
              <w:rPr>
                <w:rFonts w:cstheme="minorHAnsi"/>
                <w:szCs w:val="20"/>
              </w:rPr>
            </w:pPr>
            <w:r w:rsidRPr="000C65B2">
              <w:rPr>
                <w:rFonts w:cstheme="minorHAnsi"/>
                <w:szCs w:val="20"/>
              </w:rPr>
              <w:t>The estimated Gross Regional Product (GRP) for the region</w:t>
            </w:r>
          </w:p>
        </w:tc>
        <w:tc>
          <w:tcPr>
            <w:tcW w:w="4172" w:type="dxa"/>
            <w:tcBorders>
              <w:bottom w:val="single" w:sz="18" w:space="0" w:color="00BCDA"/>
            </w:tcBorders>
            <w:shd w:val="clear" w:color="auto" w:fill="auto"/>
            <w:vAlign w:val="center"/>
          </w:tcPr>
          <w:p w14:paraId="528E4697" w14:textId="31C65AC9" w:rsidR="00103AC2" w:rsidRPr="000C65B2" w:rsidRDefault="00103AC2" w:rsidP="00D6031B">
            <w:pPr>
              <w:rPr>
                <w:rStyle w:val="Hyperlink"/>
                <w:rFonts w:eastAsia="Times New Roman" w:cs="Calibri"/>
                <w:sz w:val="16"/>
                <w:szCs w:val="16"/>
                <w:u w:val="none"/>
                <w:lang w:eastAsia="en-AU"/>
              </w:rPr>
            </w:pPr>
            <w:r w:rsidRPr="000C65B2">
              <w:rPr>
                <w:rStyle w:val="Hyperlink"/>
                <w:rFonts w:eastAsia="Times New Roman" w:cs="Calibri"/>
                <w:sz w:val="16"/>
                <w:szCs w:val="16"/>
                <w:u w:val="none"/>
                <w:lang w:eastAsia="en-AU"/>
              </w:rPr>
              <w:t>https://economy.id.com.au/northern-tasmania.</w:t>
            </w:r>
          </w:p>
        </w:tc>
      </w:tr>
      <w:tr w:rsidR="00103AC2" w:rsidRPr="000C65B2" w14:paraId="5AB3FC6C" w14:textId="77777777" w:rsidTr="00C913EB">
        <w:trPr>
          <w:trHeight w:val="1191"/>
        </w:trPr>
        <w:tc>
          <w:tcPr>
            <w:tcW w:w="2552" w:type="dxa"/>
            <w:tcBorders>
              <w:top w:val="single" w:sz="18" w:space="0" w:color="00BCDA"/>
              <w:bottom w:val="single" w:sz="18" w:space="0" w:color="00BCDA"/>
            </w:tcBorders>
            <w:shd w:val="clear" w:color="auto" w:fill="E7E6E6" w:themeFill="background2"/>
            <w:vAlign w:val="center"/>
          </w:tcPr>
          <w:p w14:paraId="5460DA1B"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Number of Businesses</w:t>
            </w:r>
          </w:p>
        </w:tc>
        <w:tc>
          <w:tcPr>
            <w:tcW w:w="3685" w:type="dxa"/>
            <w:tcBorders>
              <w:top w:val="single" w:sz="18" w:space="0" w:color="00BCDA"/>
              <w:bottom w:val="single" w:sz="18" w:space="0" w:color="00BCDA"/>
            </w:tcBorders>
            <w:vAlign w:val="center"/>
          </w:tcPr>
          <w:p w14:paraId="5484498A" w14:textId="10C016C2" w:rsidR="00103AC2" w:rsidRPr="000C65B2" w:rsidRDefault="00D6031B" w:rsidP="00397A84">
            <w:pPr>
              <w:spacing w:before="60" w:after="60"/>
              <w:rPr>
                <w:rFonts w:cstheme="minorHAnsi"/>
                <w:szCs w:val="20"/>
              </w:rPr>
            </w:pPr>
            <w:r w:rsidRPr="000C65B2">
              <w:rPr>
                <w:rFonts w:cstheme="minorHAnsi"/>
                <w:szCs w:val="20"/>
              </w:rPr>
              <w:t>The number of actively trading businesses as at 30 June in each year indicated.</w:t>
            </w:r>
          </w:p>
        </w:tc>
        <w:tc>
          <w:tcPr>
            <w:tcW w:w="4172" w:type="dxa"/>
            <w:tcBorders>
              <w:top w:val="single" w:sz="18" w:space="0" w:color="00BCDA"/>
              <w:bottom w:val="single" w:sz="18" w:space="0" w:color="00BCDA"/>
            </w:tcBorders>
            <w:shd w:val="clear" w:color="auto" w:fill="auto"/>
            <w:vAlign w:val="center"/>
          </w:tcPr>
          <w:p w14:paraId="229C213E" w14:textId="38CABC92" w:rsidR="00103AC2" w:rsidRPr="000C65B2" w:rsidRDefault="000F795C" w:rsidP="00D6031B">
            <w:pPr>
              <w:rPr>
                <w:rFonts w:cstheme="minorHAnsi"/>
                <w:sz w:val="16"/>
                <w:szCs w:val="16"/>
              </w:rPr>
            </w:pPr>
            <w:r w:rsidRPr="000C65B2">
              <w:rPr>
                <w:rStyle w:val="Hyperlink"/>
                <w:rFonts w:eastAsia="Times New Roman" w:cs="Calibri"/>
                <w:sz w:val="16"/>
                <w:szCs w:val="16"/>
                <w:u w:val="none"/>
                <w:lang w:eastAsia="en-AU"/>
              </w:rPr>
              <w:t>ABS</w:t>
            </w:r>
            <w:r w:rsidR="00D6031B" w:rsidRPr="000C65B2">
              <w:rPr>
                <w:rStyle w:val="Hyperlink"/>
                <w:rFonts w:eastAsia="Times New Roman" w:cs="Calibri"/>
                <w:sz w:val="16"/>
                <w:szCs w:val="16"/>
                <w:u w:val="none"/>
                <w:lang w:eastAsia="en-AU"/>
              </w:rPr>
              <w:t xml:space="preserve">, </w:t>
            </w:r>
            <w:r w:rsidR="00D6031B" w:rsidRPr="000C65B2">
              <w:rPr>
                <w:rFonts w:eastAsia="Times New Roman" w:cs="Calibri"/>
                <w:color w:val="000000"/>
                <w:sz w:val="16"/>
                <w:szCs w:val="16"/>
                <w:lang w:eastAsia="en-AU"/>
              </w:rPr>
              <w:t>8165.0 Counts of Australian Businesses, including Entries and Exits, June 2013 to June 2017; Released at 11.30 am (Canberra time) 20 February 2018; Businesses by Local Government Area by Industry Division by Employment Size Ranges, June 2017</w:t>
            </w:r>
          </w:p>
        </w:tc>
      </w:tr>
      <w:tr w:rsidR="00103AC2" w:rsidRPr="000C65B2" w14:paraId="57731674" w14:textId="77777777" w:rsidTr="00C913EB">
        <w:trPr>
          <w:trHeight w:val="1191"/>
        </w:trPr>
        <w:tc>
          <w:tcPr>
            <w:tcW w:w="2552" w:type="dxa"/>
            <w:tcBorders>
              <w:top w:val="single" w:sz="18" w:space="0" w:color="00BCDA"/>
              <w:bottom w:val="single" w:sz="18" w:space="0" w:color="00BCDA"/>
            </w:tcBorders>
            <w:shd w:val="clear" w:color="auto" w:fill="E7E6E6" w:themeFill="background2"/>
            <w:vAlign w:val="center"/>
          </w:tcPr>
          <w:p w14:paraId="45E79E37"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Businesses by Industry</w:t>
            </w:r>
          </w:p>
        </w:tc>
        <w:tc>
          <w:tcPr>
            <w:tcW w:w="3685" w:type="dxa"/>
            <w:tcBorders>
              <w:top w:val="single" w:sz="18" w:space="0" w:color="00BCDA"/>
              <w:bottom w:val="single" w:sz="18" w:space="0" w:color="00BCDA"/>
            </w:tcBorders>
            <w:vAlign w:val="center"/>
          </w:tcPr>
          <w:p w14:paraId="6DB957CA" w14:textId="6738FE68" w:rsidR="00103AC2" w:rsidRPr="000C65B2" w:rsidRDefault="00D6031B" w:rsidP="00397A84">
            <w:pPr>
              <w:spacing w:before="60" w:after="60"/>
              <w:rPr>
                <w:rFonts w:cstheme="minorHAnsi"/>
                <w:szCs w:val="20"/>
              </w:rPr>
            </w:pPr>
            <w:r w:rsidRPr="000C65B2">
              <w:rPr>
                <w:rFonts w:cstheme="minorHAnsi"/>
                <w:szCs w:val="20"/>
              </w:rPr>
              <w:t>The number of actively trading businesses as at 30 June in each year indicated by industry</w:t>
            </w:r>
          </w:p>
        </w:tc>
        <w:tc>
          <w:tcPr>
            <w:tcW w:w="4172" w:type="dxa"/>
            <w:tcBorders>
              <w:top w:val="single" w:sz="18" w:space="0" w:color="00BCDA"/>
              <w:bottom w:val="single" w:sz="18" w:space="0" w:color="00BCDA"/>
            </w:tcBorders>
            <w:shd w:val="clear" w:color="auto" w:fill="auto"/>
            <w:vAlign w:val="center"/>
          </w:tcPr>
          <w:p w14:paraId="61AD7BCB" w14:textId="2325DCA8" w:rsidR="00103AC2" w:rsidRPr="000C65B2" w:rsidRDefault="000F795C" w:rsidP="00D6031B">
            <w:pPr>
              <w:rPr>
                <w:rFonts w:cstheme="minorHAnsi"/>
                <w:sz w:val="16"/>
                <w:szCs w:val="16"/>
              </w:rPr>
            </w:pPr>
            <w:r w:rsidRPr="000C65B2">
              <w:rPr>
                <w:rStyle w:val="Hyperlink"/>
                <w:rFonts w:eastAsia="Times New Roman" w:cs="Calibri"/>
                <w:sz w:val="16"/>
                <w:szCs w:val="16"/>
                <w:u w:val="none"/>
                <w:lang w:eastAsia="en-AU"/>
              </w:rPr>
              <w:t>ABS</w:t>
            </w:r>
            <w:r w:rsidR="00D6031B" w:rsidRPr="000C65B2">
              <w:rPr>
                <w:rStyle w:val="Hyperlink"/>
                <w:rFonts w:eastAsia="Times New Roman" w:cs="Calibri"/>
                <w:sz w:val="16"/>
                <w:szCs w:val="16"/>
                <w:u w:val="none"/>
                <w:lang w:eastAsia="en-AU"/>
              </w:rPr>
              <w:t xml:space="preserve">, </w:t>
            </w:r>
            <w:r w:rsidR="00D6031B" w:rsidRPr="000C65B2">
              <w:rPr>
                <w:rFonts w:eastAsia="Times New Roman" w:cs="Calibri"/>
                <w:color w:val="000000"/>
                <w:sz w:val="16"/>
                <w:szCs w:val="16"/>
                <w:lang w:eastAsia="en-AU"/>
              </w:rPr>
              <w:t>8165.0 Counts of Australian Businesses, including Entries and Exits, Jun 2013 to Jun 2017; Released at 11.30 am (Canberra time) 20 February 2018; Businesses by Local Government Area by Industry Division by Employment Size Ranges, June 2017</w:t>
            </w:r>
          </w:p>
        </w:tc>
      </w:tr>
      <w:tr w:rsidR="00103AC2" w:rsidRPr="000C65B2" w14:paraId="4CE0CE41" w14:textId="77777777" w:rsidTr="00C913EB">
        <w:trPr>
          <w:trHeight w:val="1191"/>
        </w:trPr>
        <w:tc>
          <w:tcPr>
            <w:tcW w:w="2552" w:type="dxa"/>
            <w:tcBorders>
              <w:top w:val="single" w:sz="18" w:space="0" w:color="00BCDA"/>
              <w:bottom w:val="single" w:sz="18" w:space="0" w:color="00BCDA"/>
            </w:tcBorders>
            <w:shd w:val="clear" w:color="auto" w:fill="E7E6E6" w:themeFill="background2"/>
            <w:vAlign w:val="center"/>
          </w:tcPr>
          <w:p w14:paraId="753135B5"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Median annual income</w:t>
            </w:r>
          </w:p>
        </w:tc>
        <w:tc>
          <w:tcPr>
            <w:tcW w:w="3685" w:type="dxa"/>
            <w:tcBorders>
              <w:top w:val="single" w:sz="18" w:space="0" w:color="00BCDA"/>
              <w:bottom w:val="single" w:sz="18" w:space="0" w:color="00BCDA"/>
            </w:tcBorders>
            <w:vAlign w:val="center"/>
          </w:tcPr>
          <w:p w14:paraId="49473E58" w14:textId="48A3229A" w:rsidR="00103AC2" w:rsidRPr="000C65B2" w:rsidRDefault="00D6031B" w:rsidP="00397A84">
            <w:pPr>
              <w:tabs>
                <w:tab w:val="left" w:pos="4616"/>
              </w:tabs>
              <w:spacing w:before="60" w:after="60"/>
              <w:rPr>
                <w:rFonts w:cstheme="minorHAnsi"/>
                <w:szCs w:val="20"/>
              </w:rPr>
            </w:pPr>
            <w:r w:rsidRPr="000C65B2">
              <w:rPr>
                <w:rFonts w:cstheme="minorHAnsi"/>
                <w:szCs w:val="20"/>
              </w:rPr>
              <w:t>The median income of the community provides an indication of how economic growth is translating to person income.</w:t>
            </w:r>
          </w:p>
        </w:tc>
        <w:tc>
          <w:tcPr>
            <w:tcW w:w="4172" w:type="dxa"/>
            <w:tcBorders>
              <w:top w:val="single" w:sz="18" w:space="0" w:color="00BCDA"/>
              <w:bottom w:val="single" w:sz="18" w:space="0" w:color="00BCDA"/>
            </w:tcBorders>
            <w:shd w:val="clear" w:color="auto" w:fill="auto"/>
            <w:vAlign w:val="center"/>
          </w:tcPr>
          <w:p w14:paraId="7BE64B39" w14:textId="4C9AEB99" w:rsidR="00103AC2" w:rsidRPr="000C65B2" w:rsidRDefault="000F795C" w:rsidP="00D6031B">
            <w:pPr>
              <w:rPr>
                <w:rFonts w:cstheme="minorHAnsi"/>
                <w:sz w:val="16"/>
                <w:szCs w:val="16"/>
              </w:rPr>
            </w:pPr>
            <w:r w:rsidRPr="000C65B2">
              <w:rPr>
                <w:rFonts w:eastAsia="Times New Roman" w:cs="Calibri"/>
                <w:color w:val="000000"/>
                <w:sz w:val="16"/>
                <w:szCs w:val="16"/>
                <w:lang w:eastAsia="en-AU"/>
              </w:rPr>
              <w:t>ABS</w:t>
            </w:r>
            <w:r w:rsidR="00D6031B" w:rsidRPr="000C65B2">
              <w:rPr>
                <w:rFonts w:eastAsia="Times New Roman" w:cs="Calibri"/>
                <w:color w:val="000000"/>
                <w:sz w:val="16"/>
                <w:szCs w:val="16"/>
                <w:lang w:eastAsia="en-AU"/>
              </w:rPr>
              <w:t>, 6524.055002 Estimates of Personal Income for Small Areas, 2011-16, Table 2 Estimates of Personal Income, Employee Income, 2011-16, Statistical Area Level 4</w:t>
            </w:r>
          </w:p>
        </w:tc>
      </w:tr>
      <w:tr w:rsidR="00103AC2" w:rsidRPr="000C65B2" w14:paraId="78EACACD" w14:textId="77777777" w:rsidTr="00C913EB">
        <w:trPr>
          <w:trHeight w:val="1191"/>
        </w:trPr>
        <w:tc>
          <w:tcPr>
            <w:tcW w:w="2552" w:type="dxa"/>
            <w:tcBorders>
              <w:top w:val="single" w:sz="18" w:space="0" w:color="00BCDA"/>
              <w:bottom w:val="single" w:sz="18" w:space="0" w:color="00BCDA"/>
            </w:tcBorders>
            <w:shd w:val="clear" w:color="auto" w:fill="E7E6E6" w:themeFill="background2"/>
            <w:vAlign w:val="center"/>
          </w:tcPr>
          <w:p w14:paraId="675579E3" w14:textId="55B81B94"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Worker productivity</w:t>
            </w:r>
          </w:p>
        </w:tc>
        <w:tc>
          <w:tcPr>
            <w:tcW w:w="3685" w:type="dxa"/>
            <w:tcBorders>
              <w:top w:val="single" w:sz="18" w:space="0" w:color="00BCDA"/>
              <w:bottom w:val="single" w:sz="18" w:space="0" w:color="00BCDA"/>
            </w:tcBorders>
            <w:vAlign w:val="center"/>
          </w:tcPr>
          <w:p w14:paraId="35E33BE8" w14:textId="62E21E9D" w:rsidR="00103AC2" w:rsidRPr="000C65B2" w:rsidRDefault="00397A84" w:rsidP="00397A84">
            <w:pPr>
              <w:spacing w:before="60" w:after="60"/>
              <w:rPr>
                <w:rFonts w:cstheme="minorHAnsi"/>
                <w:szCs w:val="20"/>
              </w:rPr>
            </w:pPr>
            <w:r w:rsidRPr="000C65B2">
              <w:rPr>
                <w:rFonts w:cstheme="minorHAnsi"/>
                <w:szCs w:val="20"/>
              </w:rPr>
              <w:t>A</w:t>
            </w:r>
            <w:r w:rsidR="00D6031B" w:rsidRPr="000C65B2">
              <w:rPr>
                <w:rFonts w:cstheme="minorHAnsi"/>
                <w:szCs w:val="20"/>
              </w:rPr>
              <w:t>n indication of the value added per worker, by dividing the industry value by the number of persons employed in that industry.</w:t>
            </w:r>
          </w:p>
        </w:tc>
        <w:tc>
          <w:tcPr>
            <w:tcW w:w="4172" w:type="dxa"/>
            <w:tcBorders>
              <w:top w:val="single" w:sz="18" w:space="0" w:color="00BCDA"/>
              <w:bottom w:val="single" w:sz="18" w:space="0" w:color="00BCDA"/>
            </w:tcBorders>
            <w:shd w:val="clear" w:color="auto" w:fill="auto"/>
            <w:vAlign w:val="center"/>
          </w:tcPr>
          <w:p w14:paraId="5531F758" w14:textId="4F71AD38" w:rsidR="00103AC2" w:rsidRPr="000C65B2" w:rsidRDefault="00D6031B" w:rsidP="00D6031B">
            <w:pPr>
              <w:rPr>
                <w:rFonts w:cstheme="minorHAnsi"/>
                <w:sz w:val="16"/>
                <w:szCs w:val="16"/>
              </w:rPr>
            </w:pPr>
            <w:r w:rsidRPr="000C65B2">
              <w:rPr>
                <w:rFonts w:eastAsia="Times New Roman" w:cstheme="minorHAnsi"/>
                <w:color w:val="000000"/>
                <w:sz w:val="16"/>
                <w:szCs w:val="16"/>
                <w:lang w:eastAsia="en-AU"/>
              </w:rPr>
              <w:t xml:space="preserve">National Institute of Economic and Industry Research (NIEIR) ©2016. Compiled and presented in economy.id by .id, the population experts. </w:t>
            </w:r>
            <w:r w:rsidRPr="000C65B2">
              <w:rPr>
                <w:rFonts w:eastAsia="Times New Roman" w:cstheme="minorHAnsi"/>
                <w:sz w:val="16"/>
                <w:szCs w:val="16"/>
                <w:lang w:eastAsia="en-AU"/>
              </w:rPr>
              <w:t xml:space="preserve">https://home.id.com.au via </w:t>
            </w:r>
            <w:r w:rsidRPr="000C65B2">
              <w:rPr>
                <w:rFonts w:cstheme="minorHAnsi"/>
                <w:sz w:val="16"/>
                <w:szCs w:val="16"/>
              </w:rPr>
              <w:t>https://economy.id.com.au/northern-tasmania/</w:t>
            </w:r>
          </w:p>
        </w:tc>
      </w:tr>
      <w:tr w:rsidR="00103AC2" w:rsidRPr="000C65B2" w14:paraId="0F009B9C" w14:textId="77777777" w:rsidTr="00C913EB">
        <w:trPr>
          <w:trHeight w:val="1191"/>
        </w:trPr>
        <w:tc>
          <w:tcPr>
            <w:tcW w:w="2552" w:type="dxa"/>
            <w:tcBorders>
              <w:top w:val="single" w:sz="18" w:space="0" w:color="00BCDA"/>
              <w:bottom w:val="single" w:sz="18" w:space="0" w:color="00BCDA"/>
            </w:tcBorders>
            <w:shd w:val="clear" w:color="auto" w:fill="E7E6E6" w:themeFill="background2"/>
            <w:vAlign w:val="center"/>
          </w:tcPr>
          <w:p w14:paraId="62730086"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Value of exports</w:t>
            </w:r>
          </w:p>
        </w:tc>
        <w:tc>
          <w:tcPr>
            <w:tcW w:w="3685" w:type="dxa"/>
            <w:tcBorders>
              <w:top w:val="single" w:sz="18" w:space="0" w:color="00BCDA"/>
              <w:bottom w:val="single" w:sz="18" w:space="0" w:color="00BCDA"/>
            </w:tcBorders>
            <w:vAlign w:val="center"/>
          </w:tcPr>
          <w:p w14:paraId="2043988B" w14:textId="570F0E57" w:rsidR="00103AC2" w:rsidRPr="000C65B2" w:rsidRDefault="00D6031B" w:rsidP="00397A84">
            <w:pPr>
              <w:spacing w:before="60" w:after="60"/>
              <w:rPr>
                <w:rFonts w:cstheme="minorHAnsi"/>
                <w:szCs w:val="20"/>
              </w:rPr>
            </w:pPr>
            <w:r w:rsidRPr="000C65B2">
              <w:rPr>
                <w:rFonts w:cstheme="minorHAnsi"/>
                <w:szCs w:val="20"/>
              </w:rPr>
              <w:t>The estimated value of exports outside of Northern Tasmania to domestic and international markets</w:t>
            </w:r>
          </w:p>
        </w:tc>
        <w:tc>
          <w:tcPr>
            <w:tcW w:w="4172" w:type="dxa"/>
            <w:tcBorders>
              <w:top w:val="single" w:sz="18" w:space="0" w:color="00BCDA"/>
              <w:bottom w:val="single" w:sz="18" w:space="0" w:color="00BCDA"/>
            </w:tcBorders>
            <w:shd w:val="clear" w:color="auto" w:fill="auto"/>
            <w:vAlign w:val="center"/>
          </w:tcPr>
          <w:p w14:paraId="70E7FDCD" w14:textId="697DF597" w:rsidR="00103AC2" w:rsidRPr="000C65B2" w:rsidRDefault="00103AC2" w:rsidP="00D6031B">
            <w:pPr>
              <w:rPr>
                <w:rFonts w:cstheme="minorHAnsi"/>
                <w:sz w:val="16"/>
                <w:szCs w:val="16"/>
              </w:rPr>
            </w:pPr>
            <w:r w:rsidRPr="000C65B2">
              <w:rPr>
                <w:rFonts w:cstheme="minorHAnsi"/>
                <w:sz w:val="16"/>
                <w:szCs w:val="16"/>
              </w:rPr>
              <w:t>https://economy.id.com.au/northern-tasmania</w:t>
            </w:r>
          </w:p>
        </w:tc>
      </w:tr>
      <w:tr w:rsidR="00103AC2" w:rsidRPr="000C65B2" w14:paraId="205C1B72" w14:textId="77777777" w:rsidTr="00C913EB">
        <w:trPr>
          <w:trHeight w:val="1191"/>
        </w:trPr>
        <w:tc>
          <w:tcPr>
            <w:tcW w:w="2552" w:type="dxa"/>
            <w:tcBorders>
              <w:top w:val="single" w:sz="18" w:space="0" w:color="00BCDA"/>
              <w:bottom w:val="single" w:sz="4" w:space="0" w:color="D0CECE" w:themeColor="background2" w:themeShade="E6"/>
            </w:tcBorders>
            <w:shd w:val="clear" w:color="auto" w:fill="E7E6E6" w:themeFill="background2"/>
            <w:vAlign w:val="center"/>
          </w:tcPr>
          <w:p w14:paraId="52B96374" w14:textId="77777777" w:rsidR="00103AC2" w:rsidRPr="001436CA" w:rsidRDefault="00103AC2" w:rsidP="001436CA">
            <w:pPr>
              <w:spacing w:before="60" w:after="60"/>
              <w:jc w:val="center"/>
              <w:rPr>
                <w:rFonts w:cstheme="minorHAnsi"/>
                <w:color w:val="00BCDA"/>
                <w:sz w:val="24"/>
                <w:szCs w:val="20"/>
              </w:rPr>
            </w:pPr>
            <w:r w:rsidRPr="001436CA">
              <w:rPr>
                <w:rFonts w:cstheme="minorHAnsi"/>
                <w:color w:val="00BCDA"/>
                <w:sz w:val="24"/>
                <w:szCs w:val="20"/>
              </w:rPr>
              <w:t>Innovation</w:t>
            </w:r>
          </w:p>
        </w:tc>
        <w:tc>
          <w:tcPr>
            <w:tcW w:w="3685" w:type="dxa"/>
            <w:tcBorders>
              <w:top w:val="single" w:sz="18" w:space="0" w:color="00BCDA"/>
              <w:bottom w:val="single" w:sz="4" w:space="0" w:color="D0CECE" w:themeColor="background2" w:themeShade="E6"/>
            </w:tcBorders>
            <w:vAlign w:val="center"/>
          </w:tcPr>
          <w:p w14:paraId="18D6558A" w14:textId="662BC1CD" w:rsidR="00103AC2" w:rsidRPr="000C65B2" w:rsidRDefault="00D6031B" w:rsidP="00397A84">
            <w:pPr>
              <w:spacing w:before="60" w:after="60"/>
              <w:rPr>
                <w:rFonts w:cstheme="minorHAnsi"/>
                <w:szCs w:val="20"/>
              </w:rPr>
            </w:pPr>
            <w:r w:rsidRPr="000C65B2">
              <w:rPr>
                <w:rFonts w:cstheme="minorHAnsi"/>
                <w:szCs w:val="20"/>
              </w:rPr>
              <w:t>Under investigation</w:t>
            </w:r>
          </w:p>
        </w:tc>
        <w:tc>
          <w:tcPr>
            <w:tcW w:w="4172" w:type="dxa"/>
            <w:tcBorders>
              <w:top w:val="single" w:sz="18" w:space="0" w:color="00BCDA"/>
              <w:bottom w:val="single" w:sz="4" w:space="0" w:color="D0CECE" w:themeColor="background2" w:themeShade="E6"/>
            </w:tcBorders>
            <w:shd w:val="clear" w:color="auto" w:fill="auto"/>
            <w:vAlign w:val="center"/>
          </w:tcPr>
          <w:p w14:paraId="2D29317C" w14:textId="64D8A480" w:rsidR="00103AC2" w:rsidRPr="000C65B2" w:rsidRDefault="00103AC2" w:rsidP="00D6031B">
            <w:pPr>
              <w:rPr>
                <w:rFonts w:cstheme="minorHAnsi"/>
                <w:sz w:val="16"/>
                <w:szCs w:val="16"/>
              </w:rPr>
            </w:pPr>
          </w:p>
        </w:tc>
      </w:tr>
    </w:tbl>
    <w:p w14:paraId="08959D23" w14:textId="77777777" w:rsidR="00810359" w:rsidRPr="000C65B2" w:rsidRDefault="00810359" w:rsidP="00397A84">
      <w:pPr>
        <w:spacing w:after="0" w:line="240" w:lineRule="auto"/>
        <w:rPr>
          <w:rFonts w:cstheme="minorHAnsi"/>
        </w:rPr>
      </w:pPr>
    </w:p>
    <w:p w14:paraId="6A82DD2B" w14:textId="6A769B31" w:rsidR="00E85C8F" w:rsidRPr="00C913EB" w:rsidRDefault="00E85C8F" w:rsidP="00E85C8F">
      <w:pPr>
        <w:tabs>
          <w:tab w:val="left" w:pos="4616"/>
        </w:tabs>
        <w:spacing w:after="60" w:line="240" w:lineRule="auto"/>
        <w:rPr>
          <w:rFonts w:eastAsia="Times New Roman" w:cs="Times New Roman"/>
          <w:b/>
          <w:color w:val="00BCDA"/>
          <w:sz w:val="16"/>
          <w:szCs w:val="16"/>
          <w:lang w:eastAsia="en-AU"/>
        </w:rPr>
      </w:pPr>
      <w:r w:rsidRPr="00C913EB">
        <w:rPr>
          <w:rFonts w:eastAsia="Times New Roman" w:cs="Times New Roman"/>
          <w:b/>
          <w:color w:val="00BCDA"/>
          <w:sz w:val="16"/>
          <w:szCs w:val="16"/>
          <w:lang w:eastAsia="en-AU"/>
        </w:rPr>
        <w:t>A note on data sources</w:t>
      </w:r>
    </w:p>
    <w:p w14:paraId="396BA5D8" w14:textId="77777777" w:rsidR="00E85C8F" w:rsidRPr="000C65B2" w:rsidRDefault="00E85C8F" w:rsidP="00E85C8F">
      <w:pPr>
        <w:tabs>
          <w:tab w:val="left" w:pos="4616"/>
        </w:tabs>
        <w:spacing w:after="60" w:line="240" w:lineRule="auto"/>
        <w:rPr>
          <w:rFonts w:eastAsia="Times New Roman" w:cs="Times New Roman"/>
          <w:sz w:val="16"/>
          <w:szCs w:val="16"/>
          <w:lang w:eastAsia="en-AU"/>
        </w:rPr>
      </w:pPr>
      <w:r w:rsidRPr="000C65B2">
        <w:rPr>
          <w:rFonts w:eastAsia="Times New Roman" w:cs="Times New Roman"/>
          <w:sz w:val="16"/>
          <w:szCs w:val="16"/>
          <w:lang w:eastAsia="en-AU"/>
        </w:rPr>
        <w:t>Data has been sourced based on the Australian Bureau of Statistics SA4 Launceston and North East Tasmania which corresponds with the Northern Tasmania region.</w:t>
      </w:r>
    </w:p>
    <w:p w14:paraId="71C62688" w14:textId="77777777" w:rsidR="00E85C8F" w:rsidRPr="000C65B2" w:rsidRDefault="00E85C8F" w:rsidP="00E85C8F">
      <w:pPr>
        <w:tabs>
          <w:tab w:val="left" w:pos="4616"/>
        </w:tabs>
        <w:spacing w:after="60" w:line="240" w:lineRule="auto"/>
        <w:rPr>
          <w:rFonts w:eastAsia="Times New Roman" w:cs="Times New Roman"/>
          <w:sz w:val="16"/>
          <w:szCs w:val="16"/>
          <w:lang w:eastAsia="en-AU"/>
        </w:rPr>
      </w:pPr>
      <w:r w:rsidRPr="000C65B2">
        <w:rPr>
          <w:rFonts w:eastAsia="Times New Roman" w:cs="Times New Roman"/>
          <w:sz w:val="16"/>
          <w:szCs w:val="16"/>
          <w:lang w:eastAsia="en-AU"/>
        </w:rPr>
        <w:t>The source of data for each metric has been referenced in addition to the potential limitations of each data set.</w:t>
      </w:r>
    </w:p>
    <w:p w14:paraId="59C13228" w14:textId="77777777" w:rsidR="00E85C8F" w:rsidRPr="000C65B2" w:rsidRDefault="00E85C8F" w:rsidP="00E85C8F">
      <w:pPr>
        <w:tabs>
          <w:tab w:val="left" w:pos="1276"/>
          <w:tab w:val="left" w:pos="4616"/>
        </w:tabs>
        <w:spacing w:after="60" w:line="240" w:lineRule="auto"/>
        <w:rPr>
          <w:rFonts w:eastAsia="Times New Roman" w:cs="Times New Roman"/>
          <w:sz w:val="16"/>
          <w:szCs w:val="16"/>
          <w:lang w:eastAsia="en-AU"/>
        </w:rPr>
      </w:pPr>
      <w:r w:rsidRPr="000C65B2">
        <w:rPr>
          <w:rFonts w:eastAsia="Times New Roman" w:cs="Times New Roman"/>
          <w:sz w:val="16"/>
          <w:szCs w:val="16"/>
          <w:lang w:eastAsia="en-AU"/>
        </w:rPr>
        <w:t>Data has been accessed from a variety of sources including the Australian Bureau of Statistics, Government data sets and regional economic models.  The data provided is the best available at the time of compiling the metrics however due to the methodology used to derive the metrics, particularly those that require regional data to be modelled, such as Gross Regional Product, have recognised limitations and their accuracy cannot be relied upon.</w:t>
      </w:r>
    </w:p>
    <w:p w14:paraId="63AE0105" w14:textId="430CD2E9" w:rsidR="00E85C8F" w:rsidRDefault="00E85C8F" w:rsidP="00E85C8F">
      <w:pPr>
        <w:spacing w:after="60" w:line="240" w:lineRule="auto"/>
        <w:rPr>
          <w:sz w:val="16"/>
          <w:szCs w:val="16"/>
        </w:rPr>
      </w:pPr>
      <w:r w:rsidRPr="000C65B2">
        <w:rPr>
          <w:rFonts w:eastAsia="Times New Roman" w:cs="Times New Roman"/>
          <w:sz w:val="16"/>
          <w:szCs w:val="16"/>
          <w:lang w:eastAsia="en-AU"/>
        </w:rPr>
        <w:t xml:space="preserve">The metrics relating to innovation are incomplete at this time.  </w:t>
      </w:r>
      <w:r w:rsidRPr="000C65B2">
        <w:rPr>
          <w:sz w:val="16"/>
          <w:szCs w:val="16"/>
        </w:rPr>
        <w:t>The Commonwealth government is leading a review of innovation metrics through the Innovation Metrics Review Taskforce.  A final report on the review, including a framework for the measurement of innovation in Australia is expected in 2019.  The metrics will be updated once this review is complete.</w:t>
      </w:r>
    </w:p>
    <w:p w14:paraId="38D81A3D" w14:textId="77777777" w:rsidR="006E7E76" w:rsidRDefault="006E7E76" w:rsidP="00E85C8F">
      <w:pPr>
        <w:spacing w:after="60" w:line="240" w:lineRule="auto"/>
        <w:rPr>
          <w:sz w:val="16"/>
          <w:szCs w:val="16"/>
        </w:rPr>
      </w:pPr>
    </w:p>
    <w:p w14:paraId="7049FABD" w14:textId="77777777" w:rsidR="00442876" w:rsidRDefault="00442876" w:rsidP="00E85C8F">
      <w:pPr>
        <w:spacing w:after="60" w:line="240" w:lineRule="auto"/>
        <w:rPr>
          <w:sz w:val="16"/>
          <w:szCs w:val="16"/>
        </w:rPr>
      </w:pPr>
    </w:p>
    <w:p w14:paraId="7109B054" w14:textId="0541BED0" w:rsidR="006E7E76" w:rsidRDefault="006E7E76">
      <w:pPr>
        <w:rPr>
          <w:rFonts w:eastAsia="Times New Roman" w:cs="Times New Roman"/>
          <w:sz w:val="16"/>
          <w:szCs w:val="16"/>
          <w:lang w:eastAsia="en-AU"/>
        </w:rPr>
      </w:pPr>
      <w:r>
        <w:rPr>
          <w:rFonts w:eastAsia="Times New Roman" w:cs="Times New Roman"/>
          <w:sz w:val="16"/>
          <w:szCs w:val="16"/>
          <w:lang w:eastAsia="en-AU"/>
        </w:rPr>
        <w:br w:type="page"/>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407"/>
      </w:tblGrid>
      <w:tr w:rsidR="006E7E76" w:rsidRPr="006E7E76" w14:paraId="3DCCF0EC" w14:textId="77777777" w:rsidTr="005C4AF9">
        <w:trPr>
          <w:trHeight w:val="1186"/>
          <w:jc w:val="center"/>
        </w:trPr>
        <w:tc>
          <w:tcPr>
            <w:tcW w:w="2410" w:type="dxa"/>
            <w:vMerge w:val="restart"/>
          </w:tcPr>
          <w:p w14:paraId="19CF832F" w14:textId="527A8D48" w:rsidR="006E7E76" w:rsidRPr="006E7E76" w:rsidRDefault="006E7E76" w:rsidP="006E7E76">
            <w:pPr>
              <w:suppressAutoHyphens/>
              <w:spacing w:after="113" w:line="310" w:lineRule="exact"/>
              <w:rPr>
                <w:rFonts w:asciiTheme="minorHAnsi" w:hAnsiTheme="minorHAnsi"/>
                <w:sz w:val="22"/>
              </w:rPr>
            </w:pPr>
            <w:r w:rsidRPr="006E7E76">
              <w:rPr>
                <w:rFonts w:asciiTheme="minorHAnsi" w:hAnsiTheme="minorHAnsi"/>
                <w:noProof/>
                <w:sz w:val="22"/>
                <w:lang w:eastAsia="en-AU"/>
              </w:rPr>
              <w:lastRenderedPageBreak/>
              <w:drawing>
                <wp:anchor distT="0" distB="0" distL="114300" distR="114300" simplePos="0" relativeHeight="251678720" behindDoc="1" locked="0" layoutInCell="1" allowOverlap="1" wp14:anchorId="5DC6FEF1" wp14:editId="62A0A794">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5" name="Picture 15"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4253" w:type="dxa"/>
            <w:gridSpan w:val="2"/>
          </w:tcPr>
          <w:p w14:paraId="48E86D4D" w14:textId="77777777" w:rsidR="006E7E76" w:rsidRPr="006E7E76" w:rsidRDefault="006E7E76" w:rsidP="006E7E76">
            <w:pPr>
              <w:suppressAutoHyphens/>
              <w:spacing w:after="113" w:line="310" w:lineRule="exact"/>
              <w:rPr>
                <w:rFonts w:asciiTheme="minorHAnsi" w:hAnsiTheme="minorHAnsi"/>
                <w:sz w:val="22"/>
              </w:rPr>
            </w:pPr>
            <w:r w:rsidRPr="006E7E76">
              <w:rPr>
                <w:rFonts w:asciiTheme="minorHAnsi" w:hAnsiTheme="minorHAnsi"/>
                <w:sz w:val="22"/>
              </w:rPr>
              <w:t>Department of State Growth</w:t>
            </w:r>
          </w:p>
          <w:p w14:paraId="17B60AE7" w14:textId="77777777" w:rsidR="006E7E76" w:rsidRPr="006E7E76" w:rsidRDefault="006E7E76" w:rsidP="006E7E76">
            <w:pPr>
              <w:suppressAutoHyphens/>
              <w:spacing w:after="113" w:line="310" w:lineRule="exact"/>
              <w:rPr>
                <w:rFonts w:asciiTheme="minorHAnsi" w:hAnsiTheme="minorHAnsi"/>
                <w:sz w:val="22"/>
              </w:rPr>
            </w:pPr>
            <w:r w:rsidRPr="006E7E76">
              <w:rPr>
                <w:rFonts w:asciiTheme="minorHAnsi" w:hAnsiTheme="minorHAnsi"/>
                <w:sz w:val="22"/>
              </w:rPr>
              <w:t>GPO Box 536</w:t>
            </w:r>
            <w:r w:rsidRPr="006E7E76">
              <w:rPr>
                <w:rFonts w:asciiTheme="minorHAnsi" w:hAnsiTheme="minorHAnsi"/>
                <w:sz w:val="22"/>
              </w:rPr>
              <w:br/>
              <w:t>Hobart TAS 7001 Australia</w:t>
            </w:r>
          </w:p>
        </w:tc>
      </w:tr>
      <w:tr w:rsidR="006E7E76" w:rsidRPr="006E7E76" w14:paraId="46F8E3FA" w14:textId="77777777" w:rsidTr="005C4AF9">
        <w:trPr>
          <w:jc w:val="center"/>
        </w:trPr>
        <w:tc>
          <w:tcPr>
            <w:tcW w:w="2410" w:type="dxa"/>
            <w:vMerge/>
          </w:tcPr>
          <w:p w14:paraId="7A435FA1" w14:textId="77777777" w:rsidR="006E7E76" w:rsidRPr="006E7E76" w:rsidRDefault="006E7E76" w:rsidP="006E7E76">
            <w:pPr>
              <w:rPr>
                <w:rFonts w:asciiTheme="minorHAnsi" w:hAnsiTheme="minorHAnsi"/>
                <w:sz w:val="22"/>
              </w:rPr>
            </w:pPr>
          </w:p>
        </w:tc>
        <w:tc>
          <w:tcPr>
            <w:tcW w:w="846" w:type="dxa"/>
          </w:tcPr>
          <w:p w14:paraId="05B891C9" w14:textId="77777777" w:rsidR="006E7E76" w:rsidRPr="006E7E76" w:rsidRDefault="006E7E76" w:rsidP="006E7E76">
            <w:pPr>
              <w:rPr>
                <w:rFonts w:asciiTheme="minorHAnsi" w:hAnsiTheme="minorHAnsi"/>
                <w:sz w:val="22"/>
              </w:rPr>
            </w:pPr>
            <w:r w:rsidRPr="006E7E76">
              <w:rPr>
                <w:rFonts w:asciiTheme="minorHAnsi" w:hAnsiTheme="minorHAnsi"/>
                <w:sz w:val="22"/>
              </w:rPr>
              <w:t>Phone:</w:t>
            </w:r>
          </w:p>
        </w:tc>
        <w:tc>
          <w:tcPr>
            <w:tcW w:w="3407" w:type="dxa"/>
          </w:tcPr>
          <w:p w14:paraId="14BD8DE2" w14:textId="77777777" w:rsidR="006E7E76" w:rsidRPr="006E7E76" w:rsidRDefault="006E7E76" w:rsidP="006E7E76">
            <w:pPr>
              <w:rPr>
                <w:rFonts w:asciiTheme="minorHAnsi" w:hAnsiTheme="minorHAnsi"/>
                <w:sz w:val="22"/>
              </w:rPr>
            </w:pPr>
            <w:r w:rsidRPr="006E7E76">
              <w:rPr>
                <w:rFonts w:asciiTheme="minorHAnsi" w:hAnsiTheme="minorHAnsi"/>
                <w:sz w:val="22"/>
              </w:rPr>
              <w:t>1800 030 688</w:t>
            </w:r>
          </w:p>
        </w:tc>
      </w:tr>
      <w:tr w:rsidR="006E7E76" w:rsidRPr="006E7E76" w14:paraId="6E706F9D" w14:textId="77777777" w:rsidTr="005C4AF9">
        <w:trPr>
          <w:jc w:val="center"/>
        </w:trPr>
        <w:tc>
          <w:tcPr>
            <w:tcW w:w="2410" w:type="dxa"/>
            <w:vMerge/>
          </w:tcPr>
          <w:p w14:paraId="554ED598" w14:textId="77777777" w:rsidR="006E7E76" w:rsidRPr="006E7E76" w:rsidRDefault="006E7E76" w:rsidP="006E7E76">
            <w:pPr>
              <w:rPr>
                <w:rFonts w:asciiTheme="minorHAnsi" w:hAnsiTheme="minorHAnsi"/>
                <w:sz w:val="22"/>
              </w:rPr>
            </w:pPr>
          </w:p>
        </w:tc>
        <w:tc>
          <w:tcPr>
            <w:tcW w:w="846" w:type="dxa"/>
          </w:tcPr>
          <w:p w14:paraId="4C651803" w14:textId="77777777" w:rsidR="006E7E76" w:rsidRPr="006E7E76" w:rsidRDefault="006E7E76" w:rsidP="006E7E76">
            <w:pPr>
              <w:rPr>
                <w:rFonts w:asciiTheme="minorHAnsi" w:hAnsiTheme="minorHAnsi"/>
                <w:sz w:val="22"/>
              </w:rPr>
            </w:pPr>
            <w:r w:rsidRPr="006E7E76">
              <w:rPr>
                <w:rFonts w:asciiTheme="minorHAnsi" w:hAnsiTheme="minorHAnsi"/>
                <w:sz w:val="22"/>
              </w:rPr>
              <w:t>Email:</w:t>
            </w:r>
          </w:p>
        </w:tc>
        <w:tc>
          <w:tcPr>
            <w:tcW w:w="3407" w:type="dxa"/>
          </w:tcPr>
          <w:p w14:paraId="5D57053A" w14:textId="77777777" w:rsidR="006E7E76" w:rsidRPr="006E7E76" w:rsidRDefault="006E7E76" w:rsidP="006E7E76">
            <w:pPr>
              <w:rPr>
                <w:rFonts w:asciiTheme="minorHAnsi" w:hAnsiTheme="minorHAnsi"/>
                <w:sz w:val="22"/>
              </w:rPr>
            </w:pPr>
            <w:hyperlink r:id="rId17" w:history="1">
              <w:r w:rsidRPr="006E7E76">
                <w:rPr>
                  <w:rFonts w:asciiTheme="minorHAnsi" w:hAnsiTheme="minorHAnsi"/>
                  <w:sz w:val="22"/>
                </w:rPr>
                <w:t>info@stategrowth.tas.gov.au</w:t>
              </w:r>
            </w:hyperlink>
          </w:p>
        </w:tc>
      </w:tr>
      <w:tr w:rsidR="006E7E76" w:rsidRPr="006E7E76" w14:paraId="062DC2DC" w14:textId="77777777" w:rsidTr="005C4AF9">
        <w:trPr>
          <w:jc w:val="center"/>
        </w:trPr>
        <w:tc>
          <w:tcPr>
            <w:tcW w:w="2410" w:type="dxa"/>
            <w:vMerge/>
          </w:tcPr>
          <w:p w14:paraId="6A76C94D" w14:textId="77777777" w:rsidR="006E7E76" w:rsidRPr="006E7E76" w:rsidRDefault="006E7E76" w:rsidP="006E7E76">
            <w:pPr>
              <w:rPr>
                <w:rFonts w:asciiTheme="minorHAnsi" w:hAnsiTheme="minorHAnsi"/>
                <w:sz w:val="22"/>
              </w:rPr>
            </w:pPr>
          </w:p>
        </w:tc>
        <w:tc>
          <w:tcPr>
            <w:tcW w:w="846" w:type="dxa"/>
          </w:tcPr>
          <w:p w14:paraId="6A158522" w14:textId="77777777" w:rsidR="006E7E76" w:rsidRPr="006E7E76" w:rsidRDefault="006E7E76" w:rsidP="006E7E76">
            <w:pPr>
              <w:rPr>
                <w:rFonts w:asciiTheme="minorHAnsi" w:hAnsiTheme="minorHAnsi"/>
                <w:sz w:val="22"/>
              </w:rPr>
            </w:pPr>
            <w:r w:rsidRPr="006E7E76">
              <w:rPr>
                <w:rFonts w:asciiTheme="minorHAnsi" w:hAnsiTheme="minorHAnsi"/>
                <w:sz w:val="22"/>
              </w:rPr>
              <w:t>Web:</w:t>
            </w:r>
          </w:p>
        </w:tc>
        <w:tc>
          <w:tcPr>
            <w:tcW w:w="3407" w:type="dxa"/>
          </w:tcPr>
          <w:p w14:paraId="56A15459" w14:textId="77777777" w:rsidR="006E7E76" w:rsidRPr="006E7E76" w:rsidRDefault="006E7E76" w:rsidP="006E7E76">
            <w:pPr>
              <w:rPr>
                <w:rFonts w:asciiTheme="minorHAnsi" w:hAnsiTheme="minorHAnsi"/>
                <w:sz w:val="22"/>
              </w:rPr>
            </w:pPr>
            <w:r w:rsidRPr="006E7E76">
              <w:rPr>
                <w:rFonts w:asciiTheme="minorHAnsi" w:hAnsiTheme="minorHAnsi"/>
                <w:sz w:val="22"/>
              </w:rPr>
              <w:t>www.stategrowth.tas.gov.au</w:t>
            </w:r>
          </w:p>
        </w:tc>
      </w:tr>
      <w:tr w:rsidR="006E7E76" w:rsidRPr="006E7E76" w14:paraId="40858834" w14:textId="77777777" w:rsidTr="005C4AF9">
        <w:trPr>
          <w:jc w:val="center"/>
        </w:trPr>
        <w:tc>
          <w:tcPr>
            <w:tcW w:w="2410" w:type="dxa"/>
          </w:tcPr>
          <w:p w14:paraId="2499344F" w14:textId="5D9F8059" w:rsidR="006E7E76" w:rsidRPr="006E7E76" w:rsidRDefault="006E7E76" w:rsidP="006E7E76">
            <w:pPr>
              <w:rPr>
                <w:rFonts w:asciiTheme="minorHAnsi" w:hAnsiTheme="minorHAnsi"/>
                <w:sz w:val="22"/>
              </w:rPr>
            </w:pPr>
          </w:p>
        </w:tc>
        <w:tc>
          <w:tcPr>
            <w:tcW w:w="4253" w:type="dxa"/>
            <w:gridSpan w:val="2"/>
          </w:tcPr>
          <w:p w14:paraId="247891FE" w14:textId="77777777" w:rsidR="006E7E76" w:rsidRPr="006E7E76" w:rsidRDefault="006E7E76" w:rsidP="006E7E76">
            <w:pPr>
              <w:rPr>
                <w:rFonts w:asciiTheme="minorHAnsi" w:hAnsiTheme="minorHAnsi"/>
                <w:sz w:val="22"/>
              </w:rPr>
            </w:pPr>
            <w:r w:rsidRPr="006E7E76">
              <w:rPr>
                <w:rFonts w:asciiTheme="minorHAnsi" w:hAnsiTheme="minorHAnsi"/>
                <w:sz w:val="22"/>
              </w:rPr>
              <w:t>© State of Tasmania November 2019</w:t>
            </w:r>
          </w:p>
        </w:tc>
      </w:tr>
    </w:tbl>
    <w:p w14:paraId="4641DF6B" w14:textId="428AD1D5" w:rsidR="00252AE2" w:rsidRPr="000C65B2" w:rsidRDefault="006E7E76" w:rsidP="00E85C8F">
      <w:pPr>
        <w:spacing w:after="60" w:line="240" w:lineRule="auto"/>
        <w:rPr>
          <w:rFonts w:eastAsia="Times New Roman" w:cs="Times New Roman"/>
          <w:sz w:val="16"/>
          <w:szCs w:val="16"/>
          <w:lang w:eastAsia="en-AU"/>
        </w:rPr>
      </w:pPr>
      <w:bookmarkStart w:id="0" w:name="_GoBack"/>
      <w:r w:rsidRPr="003F6291">
        <w:rPr>
          <w:noProof/>
          <w:lang w:eastAsia="en-AU"/>
        </w:rPr>
        <mc:AlternateContent>
          <mc:Choice Requires="wps">
            <w:drawing>
              <wp:anchor distT="0" distB="0" distL="114300" distR="114300" simplePos="0" relativeHeight="251680768" behindDoc="1" locked="0" layoutInCell="1" allowOverlap="1" wp14:anchorId="66A3DD73" wp14:editId="1C10CF24">
                <wp:simplePos x="0" y="0"/>
                <wp:positionH relativeFrom="margin">
                  <wp:posOffset>-480695</wp:posOffset>
                </wp:positionH>
                <wp:positionV relativeFrom="margin">
                  <wp:posOffset>-539971</wp:posOffset>
                </wp:positionV>
                <wp:extent cx="7560000" cy="10692000"/>
                <wp:effectExtent l="0" t="0" r="3175" b="0"/>
                <wp:wrapNone/>
                <wp:docPr id="8" name="Rectangle 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87BC" id="Rectangle 8" o:spid="_x0000_s1026" style="position:absolute;margin-left:-37.85pt;margin-top:-42.5pt;width:595.3pt;height:841.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" fillcolor="#62cae3" stroked="f" strokeweight=".5pt">
                <w10:wrap anchorx="margin" anchory="margin"/>
              </v:rect>
            </w:pict>
          </mc:Fallback>
        </mc:AlternateContent>
      </w:r>
      <w:bookmarkEnd w:id="0"/>
    </w:p>
    <w:sectPr w:rsidR="00252AE2" w:rsidRPr="000C65B2" w:rsidSect="004360C4">
      <w:pgSz w:w="11906" w:h="16838"/>
      <w:pgMar w:top="851" w:right="720" w:bottom="142" w:left="720"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1A4F" w14:textId="77777777" w:rsidR="005313F6" w:rsidRDefault="005313F6" w:rsidP="004360C4">
      <w:pPr>
        <w:spacing w:after="0" w:line="240" w:lineRule="auto"/>
      </w:pPr>
      <w:r>
        <w:separator/>
      </w:r>
    </w:p>
  </w:endnote>
  <w:endnote w:type="continuationSeparator" w:id="0">
    <w:p w14:paraId="67FBEFB3" w14:textId="77777777" w:rsidR="005313F6" w:rsidRDefault="005313F6" w:rsidP="0043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D4D20" w14:textId="77777777" w:rsidR="005313F6" w:rsidRDefault="005313F6" w:rsidP="004360C4">
      <w:pPr>
        <w:spacing w:after="0" w:line="240" w:lineRule="auto"/>
      </w:pPr>
      <w:r>
        <w:separator/>
      </w:r>
    </w:p>
  </w:footnote>
  <w:footnote w:type="continuationSeparator" w:id="0">
    <w:p w14:paraId="10D575B4" w14:textId="77777777" w:rsidR="005313F6" w:rsidRDefault="005313F6" w:rsidP="0043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22AF"/>
    <w:multiLevelType w:val="hybridMultilevel"/>
    <w:tmpl w:val="856A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431589"/>
    <w:multiLevelType w:val="hybridMultilevel"/>
    <w:tmpl w:val="B2AE3C7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62DA0504"/>
    <w:multiLevelType w:val="hybridMultilevel"/>
    <w:tmpl w:val="3062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46"/>
    <w:rsid w:val="000A5B6A"/>
    <w:rsid w:val="000B2CC1"/>
    <w:rsid w:val="000C65B2"/>
    <w:rsid w:val="000F795C"/>
    <w:rsid w:val="00103AC2"/>
    <w:rsid w:val="00126C2E"/>
    <w:rsid w:val="001348E2"/>
    <w:rsid w:val="001436CA"/>
    <w:rsid w:val="001524E4"/>
    <w:rsid w:val="00252AE2"/>
    <w:rsid w:val="002725CB"/>
    <w:rsid w:val="002753E1"/>
    <w:rsid w:val="002956CB"/>
    <w:rsid w:val="00296918"/>
    <w:rsid w:val="002A2D50"/>
    <w:rsid w:val="002D2D7C"/>
    <w:rsid w:val="002D3C13"/>
    <w:rsid w:val="002F7FF3"/>
    <w:rsid w:val="00337320"/>
    <w:rsid w:val="00342134"/>
    <w:rsid w:val="0036370B"/>
    <w:rsid w:val="00397A84"/>
    <w:rsid w:val="003F15B1"/>
    <w:rsid w:val="003F71BB"/>
    <w:rsid w:val="004360C4"/>
    <w:rsid w:val="00442876"/>
    <w:rsid w:val="00457D3C"/>
    <w:rsid w:val="00463E46"/>
    <w:rsid w:val="005313F6"/>
    <w:rsid w:val="00537C5E"/>
    <w:rsid w:val="005E1F65"/>
    <w:rsid w:val="00602E63"/>
    <w:rsid w:val="006C73F7"/>
    <w:rsid w:val="006E7E76"/>
    <w:rsid w:val="00705B66"/>
    <w:rsid w:val="007129B9"/>
    <w:rsid w:val="00732176"/>
    <w:rsid w:val="007377F7"/>
    <w:rsid w:val="00744E91"/>
    <w:rsid w:val="00746A31"/>
    <w:rsid w:val="007648FC"/>
    <w:rsid w:val="0078381A"/>
    <w:rsid w:val="00795F44"/>
    <w:rsid w:val="007F52B5"/>
    <w:rsid w:val="00800631"/>
    <w:rsid w:val="00810359"/>
    <w:rsid w:val="00893434"/>
    <w:rsid w:val="008C1AB4"/>
    <w:rsid w:val="008F76D9"/>
    <w:rsid w:val="00947375"/>
    <w:rsid w:val="009B0AD1"/>
    <w:rsid w:val="009B4FEF"/>
    <w:rsid w:val="009F462F"/>
    <w:rsid w:val="00A639CC"/>
    <w:rsid w:val="00AC3586"/>
    <w:rsid w:val="00AC6C9C"/>
    <w:rsid w:val="00AD102F"/>
    <w:rsid w:val="00B372A2"/>
    <w:rsid w:val="00BB41FA"/>
    <w:rsid w:val="00C913EB"/>
    <w:rsid w:val="00C96BD7"/>
    <w:rsid w:val="00D14823"/>
    <w:rsid w:val="00D17722"/>
    <w:rsid w:val="00D43FE9"/>
    <w:rsid w:val="00D4602D"/>
    <w:rsid w:val="00D6031B"/>
    <w:rsid w:val="00D6753A"/>
    <w:rsid w:val="00D85D83"/>
    <w:rsid w:val="00DB15AE"/>
    <w:rsid w:val="00DF00FE"/>
    <w:rsid w:val="00DF1E44"/>
    <w:rsid w:val="00E625BF"/>
    <w:rsid w:val="00E85C8F"/>
    <w:rsid w:val="00E91CBE"/>
    <w:rsid w:val="00E93395"/>
    <w:rsid w:val="00EB186D"/>
    <w:rsid w:val="00EC3066"/>
    <w:rsid w:val="00FA5EA4"/>
    <w:rsid w:val="00FB5728"/>
    <w:rsid w:val="00FD1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8564"/>
  <w15:chartTrackingRefBased/>
  <w15:docId w15:val="{B3347FEB-BD78-4959-8763-881C523B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02E63"/>
    <w:rPr>
      <w:rFonts w:ascii="Gill Sans MT" w:hAnsi="Gill Sans MT"/>
      <w:sz w:val="20"/>
    </w:rPr>
  </w:style>
  <w:style w:type="paragraph" w:styleId="Heading1">
    <w:name w:val="heading 1"/>
    <w:basedOn w:val="Normal"/>
    <w:next w:val="Normal"/>
    <w:link w:val="Heading1Char"/>
    <w:uiPriority w:val="9"/>
    <w:qFormat/>
    <w:rsid w:val="00D6753A"/>
    <w:pPr>
      <w:keepNext/>
      <w:keepLines/>
      <w:spacing w:before="120" w:after="240" w:line="620" w:lineRule="exact"/>
      <w:outlineLvl w:val="0"/>
    </w:pPr>
    <w:rPr>
      <w:rFonts w:eastAsiaTheme="majorEastAsia" w:cstheme="majorBidi"/>
      <w:color w:val="00BCDA"/>
      <w:sz w:val="48"/>
      <w:szCs w:val="32"/>
    </w:rPr>
  </w:style>
  <w:style w:type="paragraph" w:styleId="Heading2">
    <w:name w:val="heading 2"/>
    <w:basedOn w:val="Normal"/>
    <w:next w:val="Normal"/>
    <w:link w:val="Heading2Char"/>
    <w:uiPriority w:val="9"/>
    <w:unhideWhenUsed/>
    <w:qFormat/>
    <w:rsid w:val="000A5B6A"/>
    <w:pPr>
      <w:keepNext/>
      <w:keepLines/>
      <w:spacing w:before="240"/>
      <w:outlineLvl w:val="1"/>
    </w:pPr>
    <w:rPr>
      <w:rFonts w:eastAsiaTheme="majorEastAsia" w:cstheme="majorBidi"/>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5B1"/>
    <w:rPr>
      <w:sz w:val="16"/>
      <w:szCs w:val="16"/>
    </w:rPr>
  </w:style>
  <w:style w:type="paragraph" w:styleId="CommentText">
    <w:name w:val="annotation text"/>
    <w:basedOn w:val="Normal"/>
    <w:link w:val="CommentTextChar"/>
    <w:uiPriority w:val="99"/>
    <w:semiHidden/>
    <w:unhideWhenUsed/>
    <w:rsid w:val="003F15B1"/>
    <w:pPr>
      <w:spacing w:line="240" w:lineRule="auto"/>
    </w:pPr>
    <w:rPr>
      <w:szCs w:val="20"/>
    </w:rPr>
  </w:style>
  <w:style w:type="character" w:customStyle="1" w:styleId="CommentTextChar">
    <w:name w:val="Comment Text Char"/>
    <w:basedOn w:val="DefaultParagraphFont"/>
    <w:link w:val="CommentText"/>
    <w:uiPriority w:val="99"/>
    <w:semiHidden/>
    <w:rsid w:val="003F15B1"/>
    <w:rPr>
      <w:sz w:val="20"/>
      <w:szCs w:val="20"/>
    </w:rPr>
  </w:style>
  <w:style w:type="paragraph" w:styleId="BalloonText">
    <w:name w:val="Balloon Text"/>
    <w:basedOn w:val="Normal"/>
    <w:link w:val="BalloonTextChar"/>
    <w:uiPriority w:val="99"/>
    <w:semiHidden/>
    <w:unhideWhenUsed/>
    <w:rsid w:val="003F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D83"/>
    <w:rPr>
      <w:b/>
      <w:bCs/>
    </w:rPr>
  </w:style>
  <w:style w:type="character" w:customStyle="1" w:styleId="CommentSubjectChar">
    <w:name w:val="Comment Subject Char"/>
    <w:basedOn w:val="CommentTextChar"/>
    <w:link w:val="CommentSubject"/>
    <w:uiPriority w:val="99"/>
    <w:semiHidden/>
    <w:rsid w:val="00D85D83"/>
    <w:rPr>
      <w:b/>
      <w:bCs/>
      <w:sz w:val="20"/>
      <w:szCs w:val="20"/>
    </w:rPr>
  </w:style>
  <w:style w:type="paragraph" w:styleId="ListParagraph">
    <w:name w:val="List Paragraph"/>
    <w:basedOn w:val="Normal"/>
    <w:uiPriority w:val="34"/>
    <w:qFormat/>
    <w:rsid w:val="00AD102F"/>
    <w:pPr>
      <w:ind w:left="720"/>
      <w:contextualSpacing/>
    </w:pPr>
  </w:style>
  <w:style w:type="character" w:styleId="Hyperlink">
    <w:name w:val="Hyperlink"/>
    <w:basedOn w:val="DefaultParagraphFont"/>
    <w:uiPriority w:val="99"/>
    <w:unhideWhenUsed/>
    <w:rsid w:val="00D6031B"/>
    <w:rPr>
      <w:color w:val="000000"/>
      <w:u w:val="single"/>
    </w:rPr>
  </w:style>
  <w:style w:type="character" w:customStyle="1" w:styleId="Heading1Char">
    <w:name w:val="Heading 1 Char"/>
    <w:basedOn w:val="DefaultParagraphFont"/>
    <w:link w:val="Heading1"/>
    <w:uiPriority w:val="9"/>
    <w:rsid w:val="00D6753A"/>
    <w:rPr>
      <w:rFonts w:ascii="Gill Sans MT" w:eastAsiaTheme="majorEastAsia" w:hAnsi="Gill Sans MT" w:cstheme="majorBidi"/>
      <w:color w:val="00BCDA"/>
      <w:sz w:val="48"/>
      <w:szCs w:val="32"/>
    </w:rPr>
  </w:style>
  <w:style w:type="character" w:customStyle="1" w:styleId="Heading2Char">
    <w:name w:val="Heading 2 Char"/>
    <w:basedOn w:val="DefaultParagraphFont"/>
    <w:link w:val="Heading2"/>
    <w:uiPriority w:val="9"/>
    <w:rsid w:val="000A5B6A"/>
    <w:rPr>
      <w:rFonts w:ascii="Gill Sans MT" w:eastAsiaTheme="majorEastAsia" w:hAnsi="Gill Sans MT" w:cstheme="majorBidi"/>
      <w:color w:val="767171" w:themeColor="background2" w:themeShade="80"/>
      <w:sz w:val="36"/>
      <w:szCs w:val="26"/>
    </w:rPr>
  </w:style>
  <w:style w:type="paragraph" w:styleId="NoSpacing">
    <w:name w:val="No Spacing"/>
    <w:uiPriority w:val="1"/>
    <w:qFormat/>
    <w:rsid w:val="00D6753A"/>
    <w:pPr>
      <w:spacing w:after="0" w:line="240" w:lineRule="auto"/>
    </w:pPr>
    <w:rPr>
      <w:rFonts w:ascii="Gill Sans MT" w:hAnsi="Gill Sans MT"/>
      <w:sz w:val="20"/>
    </w:rPr>
  </w:style>
  <w:style w:type="paragraph" w:styleId="Header">
    <w:name w:val="header"/>
    <w:basedOn w:val="Normal"/>
    <w:link w:val="HeaderChar"/>
    <w:uiPriority w:val="99"/>
    <w:unhideWhenUsed/>
    <w:rsid w:val="0043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C4"/>
    <w:rPr>
      <w:rFonts w:ascii="Gill Sans MT" w:hAnsi="Gill Sans MT"/>
      <w:sz w:val="20"/>
    </w:rPr>
  </w:style>
  <w:style w:type="paragraph" w:styleId="Footer">
    <w:name w:val="footer"/>
    <w:basedOn w:val="Normal"/>
    <w:link w:val="FooterChar"/>
    <w:uiPriority w:val="99"/>
    <w:unhideWhenUsed/>
    <w:rsid w:val="0043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C4"/>
    <w:rPr>
      <w:rFonts w:ascii="Gill Sans MT" w:hAnsi="Gill Sans MT"/>
      <w:sz w:val="20"/>
    </w:rPr>
  </w:style>
  <w:style w:type="table" w:customStyle="1" w:styleId="TableGrid1">
    <w:name w:val="Table Grid1"/>
    <w:basedOn w:val="TableNormal"/>
    <w:next w:val="TableGrid"/>
    <w:uiPriority w:val="39"/>
    <w:rsid w:val="006E7E76"/>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XXXX@XXXX.tas.gov.au"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Michelle</dc:creator>
  <cp:keywords/>
  <dc:description/>
  <cp:lastModifiedBy>Riley, Michelle</cp:lastModifiedBy>
  <cp:revision>4</cp:revision>
  <cp:lastPrinted>2019-06-14T00:39:00Z</cp:lastPrinted>
  <dcterms:created xsi:type="dcterms:W3CDTF">2019-06-14T00:39:00Z</dcterms:created>
  <dcterms:modified xsi:type="dcterms:W3CDTF">2019-11-01T03:26:00Z</dcterms:modified>
</cp:coreProperties>
</file>